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C-1330/2009 vom 16. Juli 2009</w:t>
      </w:r>
    </w:p>
    <w:p>
      <w:r>
        <w:t>Bundesverwaltungsgericht, 2009-07-16, DE</w:t>
      </w:r>
    </w:p>
    <w:p>
      <w:r>
        <w:rPr>
          <w:b/>
        </w:rPr>
        <w:t xml:space="preserve">Quelle: </w:t>
      </w:r>
      <w:r>
        <w:t>https://mcp.opencaselaw.ch/entscheid/bvger_C-1330_2009</w:t>
      </w:r>
    </w:p>
    <w:p>
      <w:r>
        <w:t>FR: TAF C-1330/2009 du 16 juillet 2009</w:t>
      </w:r>
    </w:p>
    <w:p>
      <w:r>
        <w:t>IT: TAF C-1330/2009 del 16 luglio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Visums zu Besuchszwecken verweigert wird. In dieser Materie urteilt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Das Visumsgesuch datiert vom 4. Dezember 2008, die angefochtene Verfügung wurde am 9. Februar 2009 erlassen. Dazwischen, am 12. Dezember 2008, wurde das Abkommen vom 26. Oktober 2004 zwischen der Schweizerischen Eidgenossenschaft, der Europäischen Union und der Europäischen Gemeinschaft über die Assoziierung dieses Staates bei der Umsetzung, Anwendung und Entwicklung des Schengen-Besitzstands (SAA, SR 0.360.268.1) in Kraft gesetzt. Gestützt auf dieses Abkommen ist die Schweiz verpflichtet, den übernommenen Schengen-Besitzstand anzuwenden und umzusetzen, wie u.a. die Bestimmungen zur gemeinsamen Visapolitik, auf die verschiedentlich in EG-Rechtsakten verwiesen wird. Durch die Übernahme des Schengen-Besitzstandes wurden im Bundesgesetz vom 16. Dezember 2005 über die Ausländerinnen und Ausländer (AuG, SR 142.20) entsprechende Anpassungen notwendig (vgl. u.a. Art. 2 Abs. 4 AuG, wonach die Bestimmungen über das Visumverfahren und über die Ein- und Ausreise nur gelten, sofern das Schengen-Recht keine abweichenden Bestimmungen enthält). Im Weiteren wurde die Verordnung vom 24. Oktober 2007 über das Einreise- und Visumverfahren (VEV; AS 2007 5537) total revidiert (neu: Verordnung vom 22. Oktober 2008 über die Einreise und die Visumerteilung [VEV, SR 142.204], in Kraft seit 12. Dezember 2008). Art. 57 VEV sieht vor, dass hängige Verfahren nach dem neuen, übergeordneten Schengen-Recht fortgeführt werden.</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1 - 7)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Gemäss dieser Regelung unterliegt der Gesuchsteller gestützt auf seine Staatszugehörigkeit der Visumspflicht.</w:t>
      </w:r>
    </w:p>
    <w:p>
      <w:r>
        <w:rPr>
          <w:b/>
        </w:rPr>
        <w:t>E. 7.1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7.2</w:t>
      </w:r>
    </w:p>
    <w:p>
      <w:r>
        <w:t>Anhaltspunkte zur Beurteilung der fristgerechten Wiederausreise können sich aus der allgemeinen Situation im Herkunftsland des Besuchers ergeben. Einreisegesuche von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In der Dominikanischen Republik konnte sich die Wirtschaft zwar nach einer durch den Zusammenbruch dreier grosser Geschäftsbanken im Jahre 2003 verursachten schweren Krise - dank der Konsolidierungspolitik des im August 2004 gewählten (und im Mai 2008 wiedergewählten) Präsidenten Leonel Fernàndez Reyna - in beeindruckender Kürze erholen. Beleg dafür ist, anknüpfend an die hohen Wachstumsraten in den 90er Jahren, das seit 2005 anhaltende Wirtschaftswachstum, welches (bei einer verhältnismässig niedrigen Inflationsrate von 5%) im Jahre 2006 10,7% betrug. Mit diesem Erfolg ist die Dominikanische Republik aus der Kategorie der Risikoländer herausgefallen und wird von den anerkannten Ratingagenturen als "B - Land" eingestuft. Nach einer Senkung der Arbeitslosigkeit im Jahr 2005 ist die Arbeitslosenquote im Jahr 2006 nochmals leicht auf knapp 16,2% gesunken. Insgesamt wächst allerdings die Kritik der Bevölkerung, da das neue Wachstum bisher nicht ausreicht, um neue Arbeitsplätze zu schaffen (nur 286'000 Arbeitsplätze im Zeitraum 2004 bis 2006) bzw. keine spürbare Verbesserung in den Lebensbedingungen der bedürftigen Schichten gebracht hat. Die Regierung hat zwar mittlerweile mit verschiedenen Massnahmen auf diese Kritik reagiert; dennoch ist eine Entlastung auf dem Arbeitsmarkt mittelfristig nicht zu erwarten (zur Lageanalyse vgl. auch Urteile des Bundesverwaltungsgerichts C-581/2008 vom 27. März 2009 E. 7.3 und C-4517/2007 vom 18 Oktober 2008 E. 5.1 mit Quellenangaben). Vor dem aufgezeigten wirtschaftlichen Hintergrund ist - vor allem in der jüngeren Bevölkerung - ein starker Migrationsdruck festzustellen. Dabei gilt auch die Schweiz als Zielland vieler Auswanderer im erwerbsfähigen Alter, welche sich hier unter besseren Lebensbedingungen eine (neue) Existenz aufbauen möchten. Die Tendenz zur Auswanderung wird erfahrungsgemäss dort noch begünstigt, wo bereits ein soziales Beziehungsnetz (Verwandte, Freunde) im Ausland besteht. Im Falle der Schweiz führt dies angesichts der restriktiven Zulassungsregelung nicht selten zur Umgehung ausländerrechtlicher Bestimmungen.</w:t>
      </w:r>
    </w:p>
    <w:p>
      <w:r>
        <w:rPr>
          <w:b/>
        </w:rPr>
        <w:t>E. 7.4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8.1</w:t>
      </w:r>
    </w:p>
    <w:p>
      <w:r>
        <w:t>Beim Gesuchsteller handelt es sich um einen 32-jährigen, unverheirateten und kinderlosen Mann. Gemäss den Angaben des Beschwerdeführers leben einzig noch die Eltern des Gesuchstellers ebenfalls in der Dominikanischen Republik. Zwei Schwestern (darunter die Freundin des Gastgebers und Beschwerdeführers) leben in der Schweiz. Über die Existenz weiterer Geschwister ist nichts bekannt.</w:t>
      </w:r>
    </w:p>
    <w:p>
      <w:r>
        <w:rPr>
          <w:b/>
        </w:rPr>
        <w:t>E. 8.2</w:t>
      </w:r>
    </w:p>
    <w:p>
      <w:r>
        <w:t>Beruflich verfügt der Gesuchsteller - aus einem von ihm zu den Akten gereichten Zertifikat zu schliessen - seit Februar 2007 über einen Abschluss als "Ingenierio en Informatica". Als Arbeitgeber hat er im Visumsgesuch eine Firma in Santo Domingo angegeben, die sich mit dem Handel von Fahrzeugen beschäftigt. Während er selbst im Visumsgesuch nur vermerkte, er sei in besagter Firma angestellt (ohne seine Funktion zu bezeichnen) brachte der Beschwerdeführer auf eine entsprechende Frage des kantonalen Migrationsamtes vor, der Gesuchsteller sei als Techniker tätig. Aus einem Attest besagter Firma vom 1. Dezember 2008 geht hervor, dass er dort seit 2005 als technischer Supporter angestellt sei und aktuell "$38.000" verdienen soll. Geht man davon aus, dass damit nicht US-Dollar (USD), sondern dominikanische Pesos (DOP) gemeint sind, so entspricht dies umgerechnet etwa 1'050 USD, mehr als dem Doppelten des landesweiten Durchschnittseinkommens (rund 5'100 USD jährlich; Quelle: U.S. Departement of State, &lt;http://www.state.gov&gt;, Travel &gt; Countries and Regions &gt; Background Notes &gt; Dominican Republic, Stand: Juni 2009, besucht im Juli 2009). Die schweizerische Vertretung sprach in diesem Zusammenhang von einem mittleren Einkommen. Über die Vermögenslage des Gesuchstellers lässt sich demgegenüber kein umfassendes Bild machen. Bei den von ihm zu den Akten gereichten Bankauszügen der Periode Juni bis November 2008 fällt auf, dass die monatlich saldierten Kontobeträge jeweils zwischen 35 und 73'000 DOP schwankten. Worauf diese grossen Differenzen zurückzuführen sind, ist nicht ersichtlich. Im Zusammenhang mit dem Vorhalt der Vorinstanz betreffend unterschiedlicher Angaben zur Dauer des geplanten Besuchsaufenthalts hat der Beschwerdeführer im Rechtsmittelverfahren eine zweite Bestätigung des selben Arbeitgebers ediert; diese datiert vom 11. Mai 2009. Beiden Bestätigungen kann allerdings aus verschiedenen Gründen keine grosse Beweiskraft beigemessen werden. Besagtes Dokument vom 11. Mai 2009 besteht offensichtlich in einer einfachen Abänderung des früher ausgestellten. So wurde anstelle der im ersten Dokument enthaltenen Formulierung, wonach dem Arbeitnehmer jährlich drei mal Ferien zustehen würden, nunmehr vermerkt, dass er jährlich drei Monate Ferien zugute habe, weil er ein effizienter und verantwortungsvoller Mitarbeiter sei. Über die Art und Weise der Finanzierung dieses Anspruchs wurde in der jüngeren Bestätigung nichts vermerkt. Die beiden Atteste sind in ihrer Beweiskraft auch deshalb in Frage zu stellen, weil die darauf angebrachten Unterschriften - obwohl angeblich von der gleichen Person - stark voneinander abweichen. Es scheint, dass die Bestätigungen, inhaltlich auf die Bedürfnisse des Gesuchstellers ausgerichtet, zumindest in einem der beiden Fälle nicht vom dazu legitimierten Verfasser stammen.</w:t>
      </w:r>
    </w:p>
    <w:p>
      <w:r>
        <w:rPr>
          <w:b/>
        </w:rPr>
        <w:t>E. 8.3</w:t>
      </w:r>
    </w:p>
    <w:p>
      <w:r>
        <w:t>Vor dem allgemeinen und persönlichen Hintergrund durfte die Vorinstanz demnach davon ausgehen, dass keine hinreichende Gewähr für eine fristgerechte und anstandslose Wiederausreise des Gesuchstellers nach einem Besuchsaufenthalt besteht. An dieser Beurteilung vermag auch der Hinweis des Beschwerdeführers auf seine eigene persönliche und berufliche Integrität nichts zu ändern. Aus naheliegenden Gründen ist bei der Risikoeinschätzung nicht so sehr auf die Verlässlichkeit des Gastgebers, sondern vielmehr auf mögliche Verhaltensweisen des Gastes selbst abzustützen. Nur letzterer ist in der Lage, hinreichend Gewähr für eine fristgerechte und anstandslose Wiederausreise zu bieten (vgl. anstelle vieler die Urteile des Bundesverwaltungsgerichts C-204/2008 vom 5. März 2009 E. 8.4 und C-3243/2007 vom 10. Juni 2008 E. 5.5).</w:t>
      </w:r>
    </w:p>
    <w:p>
      <w:r>
        <w:rPr>
          <w:b/>
        </w:rPr>
        <w:t>E. 9</w:t>
      </w:r>
    </w:p>
    <w:p>
      <w:r>
        <w:t>Aus vorstehenden Erwägungen folgt, dass die angefochtene Verfügung im Lichte von Art. 49 VwVG nicht zu beanstanden ist. Die Beschwerde ist daher abzuweisen.</w:t>
      </w:r>
    </w:p>
    <w:p>
      <w:r>
        <w:rPr>
          <w:b/>
        </w:rPr>
        <w:t>E. 10</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