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C-1326/2012 vom 27. Juni 2013</w:t>
      </w:r>
    </w:p>
    <w:p>
      <w:r>
        <w:t>Bundesverwaltungsgericht, 2013-06-27, FR</w:t>
      </w:r>
    </w:p>
    <w:p>
      <w:r>
        <w:rPr>
          <w:b/>
        </w:rPr>
        <w:t xml:space="preserve">Quelle: </w:t>
      </w:r>
      <w:r>
        <w:t>https://mcp.opencaselaw.ch/entscheid/bvger_C-1326_2012</w:t>
      </w:r>
    </w:p>
    <w:p>
      <w:r>
        <w:t>FR: TAF C-1326/2012 du 27 juin 2013</w:t>
      </w:r>
    </w:p>
    <w:p>
      <w:r>
        <w:t>IT: TAF C-1326/2012 del 27 giugno 2013</w:t>
      </w:r>
    </w:p>
    <w:p>
      <w:pPr>
        <w:pStyle w:val="Heading2"/>
      </w:pPr>
      <w:r>
        <w:t>Regeste</w:t>
      </w:r>
    </w:p>
    <w:p>
      <w:r>
        <w:t>Interdiction d'entrée</w:t>
      </w:r>
    </w:p>
    <w:p>
      <w:pPr>
        <w:pStyle w:val="Heading2"/>
      </w:pPr>
      <w:r>
        <w:t>Erwägungen</w:t>
      </w:r>
    </w:p>
    <w:p>
      <w:r>
        <w:rPr>
          <w:b/>
        </w:rPr>
        <w:t>E. 2</w:t>
      </w:r>
    </w:p>
    <w:p>
      <w:r>
        <w:t>Sous réserve des exceptions prévues à l'art. 32 de la loi du 17 juin 2005 sur le Tribunal administratif fédéral (LTAF, RS 173.32), le Tribunal, en vertu de l'art. 31 LTAF, connaît des recours contre les décisions au sens de l'art. 5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2.1</w:t>
      </w:r>
    </w:p>
    <w:p>
      <w:r>
        <w:t>A moins que la LTAF n'en dispose autrement, la procédure devant le Tribunal est régie par la PA (cf. art. 37 LTAF).</w:t>
      </w:r>
    </w:p>
    <w:p>
      <w:r>
        <w:rPr>
          <w:b/>
        </w:rPr>
        <w:t>E. 2.2</w:t>
      </w:r>
    </w:p>
    <w:p>
      <w:r>
        <w:t>L'intéressée a qualité pour recourir (cf. art. 48 al. 1 PA). Présenté dans la forme et dans les délais prescrits par la loi, le recours est recevable (cf. art. 50 et art. 52 PA).</w:t>
      </w:r>
    </w:p>
    <w:p>
      <w:r>
        <w:rPr>
          <w:b/>
        </w:rPr>
        <w:t>E. 3</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Bâle 2008, p. 181, ad ch. 3.197). Aussi peut-elle admettre ou rejeter le pourvoi pour d'autres motifs que ceux invoqués. Dans le cadre de la procédure de recours, le Tribunal applique d'office le droit fédéral. Dans son arrêt, il prend en considération l'état de fait régnant au moment où il statue (cf. ATAF 2011/1 consid. 2 p. 4, ATAF 2011/43 consid. 6.1 p. 886). 4.1 Selon l'art. 67 al. 2 LEtr, l'ODM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 4.2 Lorsqu'une décision d'interdiction d'entrée au sens de l'art. 67 LEtr est prononcée, comme en l'espèce, à l'endroit d'une personne non-ressortissante de l'un des Etats parties aux Accords d'association à Schengen (lesquels sont énumérés à l'annexe 1 chiffre 1 de la LEtr), cette personne - conformément, d'une part, au règlement (CE) no 1987/2006 du 20 décembre 2006 sur l'établissement, le fonctionnement et l'utilisation du système d'information Schengen de deuxième génération (SIS II, JO L 381 du 28 décembre 2006 p. 4 à 23) entré en vigueur le 9 avril 2013 et abrogeant (cf. la décision du Conseil 2013/158/EU du 7 mars 2013, JO L 87 p. 10 et 11 en relation avec l'art. 52 par. 1 du règlement SIS II) en particulier l'art. 94 par. 1 et l'art. 96 de la Convention d'application de l'accord de Schengen (CAAS, JO L 239 du 22 septembre 2000 p. 19 à 62) et, d'autre part,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 4.3 Concernant plus spécifiquement les notions de sécurité et d'ordre publics, qui sont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(cf.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4.4 Une interdiction d'entrée peut notamment être prononcée lorsque l'étranger a violé les prescriptions du droit en matière d'étrangers (cf. message précité, FF 2002 3568). Le fait de séjourner ou de travailler en Suisse sans autorisation constitue une violation grave des prescriptions de police des étrangers (cf. arrêts du Tribunal administratif fédéral C-4717/2012 du 5 avril 2013 consid. 4.3 et la jurisp. cit., et C-1279/2012 du 18 septembre 2012 consid. 5.3.3). 4.5 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 Uebersax/ Rudin/ Hugi Yar/ Geiser [éd.], Ausländerrecht, 2ème éd., Bâle 2009, ch. 8.80, p. 356). 5.1 L'ODM a prononcé à l'endroit de A._______ une interdiction d'entrée d'une durée de deux ans, dont les effets s'étendent jusqu'au 15 janvier 2014, estimant que la prénommée avait porté atteinte à la sécurité et à l'ordre publics en séjournant illégalement dans l'Espace Schengen durant plus de 30 jours après l'expiration du séjour non soumis à autorisation. 5.2 Conformément à l'art. 1 par. 2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les ressortissants philippins sont soumis à l'obligation de visa. 5.3 En l'occurrence, la recourante a obtenu un visa Schengen de l'Ambassade de France en Arabie saoudite, valable du 5 juillet 2011 au 5 octobre suivant pour un séjour d'une durée maximale de 45 jours. Or elle est entrée en Suisse par l'aéroport de Genève, le 31 août 2011, et en est ressortie, le 23 novembre suivant, soit 49 jours après la fin de la validité de son visa, période durant laquelle son séjour était irrégulier. Dans son recours, l'intéressée a allégué que sa présence après la fin de la période de validité de son visa était dû au fait qu'elle avait déjà obtenu, les années précédentes, d'autres visas lui ayant permis de séjourner 90 jours, au lieu de 45, dans l'Espace Schengen à partir de son arrivée à Genève. Cette explication n'est pas décisive. En effet, la seule présence de l'intéressée au-delà du séjour dûment autorisé sur le territoire suisse et, partant, dans l'Espace Schengen est suffisante pour que soit retenu un séjour illégal. 5.4 Les conditions d'application de l'art. 67 al. 2 let. a LEtr étant remplies, l'interdiction d'entrée prononcée à l'endroit de l'intéressée, comprise comme mesure administrative de contrôle, se justifie pour la tenir éloignée de la Suisse et de l'Espace Schengen. Il en va de l'intérêt de l'Etat à voir respecter l'ordre établi et la législation en vigueur (cf. arrêt du TAF C-1385/2012 du 14 septembre 2012 consid. 8.3.1 et C-3247/2011 du 6 mars 2012, consid. 10.3.1).</w:t>
      </w:r>
    </w:p>
    <w:p>
      <w:r>
        <w:rPr>
          <w:b/>
        </w:rPr>
        <w:t>E. 6</w:t>
      </w:r>
    </w:p>
    <w:p>
      <w:r>
        <w:t>Il convient encore d'examiner si la mesure d'éloignement prise par l'ODM, d'une durée de deux ans, satisfait aux principes de la proportionnalité et de l'égalité de traitement.</w:t>
      </w:r>
    </w:p>
    <w:p>
      <w:r>
        <w:rPr>
          <w:b/>
        </w:rPr>
        <w:t>E. 6.1</w:t>
      </w:r>
    </w:p>
    <w:p>
      <w:r>
        <w:t>En effet, lorsque l'autorité administrative prononce une interdiction d'entrée, elle doit respecter ces principes et s'interdire tout arbitraire (cf. André Grisel, Traité de droit administratif, Neuchâtel 1984, vol. I, p. 339 ss, 348 ss, 358 ss et 364 ss ; Blaise Knapp, Précis de droit administratif, Bâle/Francfort-sur-le-Main 1991, p. 103 ss, 113 ss et 124 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p. 104, ATF 135 I 176 consid. 8.1 p. 186, ATF 133 I 110 consid. 7.1 p. 123, et la jurisp. cit.). En l'espèce, la recourante n'a pas respecté les prescriptions légales en vigueur sur le séjour en Suisse et dans l'Espace Schengen en y séjournant illégalement durant 49 jours au-delà de la fin de validité de son visa. Elle ne conteste pas avoir enfreint la législation en vigueur, mais soutient qu'elle souhaitait se rendre, comme elle l'avait fait à deux reprises au cours des cinq dernières années, en vacances en France avec son employeur, pays dans lequel celui-ci possédait une résidence. Pareille explication est certes plausible, mais ne saurait en rien justifier son comportement. Elle ne pouvait en effet pas ignorer qu'elle devait quitter l'Espace Schengen au plus tard à l'échéance du visa pour ne pas contrevenir aux dispositions de police des étrangers. Le fait qu'elle ait cru par erreur avoir obtenu un visa de 90 jours au lieu de 45 jours ne saurait justifier son comportement. Tenant compte de l'ensemble des éléments objectifs et subjectifs de la cause, le Tribunal considère que la mesure d'éloignement querellée est nécessaire, adéquate et proportionnée aux circonstances. Au regard des décisions prises par les autorités dans des cas analogues, elle n'est pas contraire au principe d'égalité de traitement. La recourante ne le prétend du reste pas. Il convient par conséquent de confirmer la décision de l'autorité de première instance. 7.1 Au vu de ce qui précède, la décision de l'ODM du 16 janvier 2012 est conforme au droit (cf. art. 49 PA). 7.2 Partant, le recours doit être rejeté.</w:t>
      </w:r>
    </w:p>
    <w:p>
      <w:r>
        <w:rPr>
          <w:b/>
        </w:rPr>
        <w:t>E. 8</w:t>
      </w:r>
    </w:p>
    <w:p>
      <w:r>
        <w:t>Vu l'issue de la cause les frais de procédure sont mis à la charge de la recourante (cf.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