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C-1325/2014 vom 22. Oktober 2014</w:t>
      </w:r>
    </w:p>
    <w:p>
      <w:r>
        <w:t>Bundesverwaltungsgericht, 2014-10-22, DE</w:t>
      </w:r>
    </w:p>
    <w:p>
      <w:r>
        <w:rPr>
          <w:b/>
        </w:rPr>
        <w:t xml:space="preserve">Quelle: </w:t>
      </w:r>
      <w:r>
        <w:t>https://mcp.opencaselaw.ch/entscheid/bvger_C-1325_2014</w:t>
      </w:r>
    </w:p>
    <w:p>
      <w:r>
        <w:t>FR: TAF C-1325/2014 du 22 octobre 2014</w:t>
      </w:r>
    </w:p>
    <w:p>
      <w:r>
        <w:t>IT: TAF C-1325/2014 del 22 ottobre 2014</w:t>
      </w:r>
    </w:p>
    <w:p>
      <w:pPr>
        <w:pStyle w:val="Heading2"/>
      </w:pPr>
      <w:r>
        <w:t>Regeste</w:t>
      </w:r>
    </w:p>
    <w:p>
      <w:r>
        <w:t>Einreiseverbot</w:t>
      </w:r>
    </w:p>
    <w:p>
      <w:pPr>
        <w:pStyle w:val="Heading2"/>
      </w:pPr>
      <w:r>
        <w:t>Erwägungen</w:t>
      </w:r>
    </w:p>
    <w:p>
      <w:r>
        <w:rPr>
          <w:b/>
        </w:rPr>
        <w:t>E. 1.1</w:t>
      </w:r>
    </w:p>
    <w:p>
      <w:r>
        <w:t>Vom BFM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Gemäss Art. 67 Abs. 2 Bst. a AuG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3.1</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Bestand ein solches Verhalten in der Vergangenheit, so wird die Gefahr entsprechender künftiger Störungen von Gesetzes wegen vermutet (vgl. Botschaft, a.a.O. S. 3760; vgl. auch Urteil des BVGer C-4898/2012 vom 1. Mai 2014 E. 4.2 mit Hinweisen).</w:t>
      </w:r>
    </w:p>
    <w:p>
      <w:r>
        <w:rPr>
          <w:b/>
        </w:rPr>
        <w:t>E. 3.2</w:t>
      </w:r>
    </w:p>
    <w:p>
      <w:r>
        <w:t>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 II], ABl. L 381/4 vom 28.12.2006 [nachfolgend: SIS-II-VO]; Art. 21 der N-SIS-Verordnung vom 8. März 2013 [SR 362.0]). Die SIS-II-VO wird seit dem 9. April 2013 angewendet und ersetzte insb. Art. 96 des Schengener Durchführungsübereinkommens vom 19. Juni 1990 (SDÜ, ABl. L 239/19 vom 22.9.2000; vgl. Urteil des BVGer C-5923/2012 vom 10. März 2014 E. 4.1). Mit der Ausschreibung des Einreiseverbots im SIS II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[nachfolgend: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4.1</w:t>
      </w:r>
    </w:p>
    <w:p>
      <w:r>
        <w:t>Die Vorinstanz hat das gegen A._______ verhängte Einreiseverbot hauptsächlich - aber nicht nur - mit seiner Verurteilung durch das Strafgericht Basel-Landschaft vom 11. März 2010 begründet. Zweifellos stellen die mit diesem Urteil sanktionierten Straftaten Verstösse gegen die öffentliche Sicherheit und Ordnung dar. Vom Beschwerdeführer wird dies auch gar nicht bestritten; er ist allerdings der Meinung, dass aufgrund der lange zurückliegenden Delinquenz von ihm keine entsprechende Gefahr mehr ausgehe. Diesbezüglich ist einzuräumen, dass eine aktuelle Gefahr für die öffentliche Sicherheit und Ordnung nur angenommen werden kann, wenn zum früheren Fehlverhalten noch eine gewisse zeitliche Nähe - die je nach Art des Verstosses unterschiedlich gross sein kann - besteht. Auch die erwähnte gesetzliche Vermutung (vgl. E. 3.1 in fine) unterliegt zwangsläufig dieser Einschränkung.</w:t>
      </w:r>
    </w:p>
    <w:p>
      <w:r>
        <w:rPr>
          <w:b/>
        </w:rPr>
        <w:t>E. 4.2</w:t>
      </w:r>
    </w:p>
    <w:p>
      <w:r>
        <w:t>Insoweit fällt beim Beschwerdeführer ins Gewicht, dass das Strafgericht für den bedingt und unter Anordnung der Bewährungshilfe ausgesprochenen Teil der Strafe eine Probezeit von drei Jahren festlegte, dies unter Berücksichtigung des Umstands, dass die bezüglich Alkohol- und Drogenkonsum bestehende Instabilität des Beschwerdeführers eine Rechtsunsicherheit darstelle (vgl. S. 17 ff. des Strafurteils); erst vor rund anderthalb Jahren ist die mit diesem Urteil angeordnete Probezeit abgelaufen. Sie ist mit der administrativrechtlichen Gefahr für die öffentliche Sicherheit und Ordnung jedoch nicht gleichzusetzen, sondern kann über sie hinausgehen (hierzu weiter unten E. 6.1.3). Zudem hat der Beschwerdeführer noch im Januar 2010 und im April 2012 grobe Verletzungen der Verkehrsregeln begangen, die jeweils mit Strafbefehl geahndet wurden (vgl. hierzu Sachverhalt B sowie Strafregisterauszug vom 1. November 2012); auch diese Verstösse sprechen für eine derzeit von ihm ausgehende aktuelle Gefahr für die öffentliche Sicherheit und Ordnung. Dass der Beschwerdeführer Anlass für eine Fernhaltemassnahme im Sinne von Art. 67 Abs. 2 Bst. a AuG gibt, ist folglich nicht in Abrede zu stellen.</w:t>
      </w:r>
    </w:p>
    <w:p>
      <w:r>
        <w:rPr>
          <w:b/>
        </w:rPr>
        <w:t>E. 5</w:t>
      </w:r>
    </w:p>
    <w:p>
      <w:r>
        <w:t>Gemäss Art. 67 Abs. 3 AuG wird das Einreiseverbot für eine Dauer von höchstens fünf Jahren verfügt; eine längere Dauer kann nur dann angeordnet werden, wenn die betroffene Person eine schwerwiegende Gefahr für die öffentliche Sicherheit und Ordnung darstellt. Ein solche Gefahr kann sich ergeben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 Hieraus ergibt sich die prinzipielle Zulässigkeit von Fernhaltemassnahmen, welche die in Art. 67 Abs. 3 Satz 1 AuG genannte Höchstdauer von fünf Jahren überschreiten.</w:t>
      </w:r>
    </w:p>
    <w:p>
      <w:r>
        <w:rPr>
          <w:b/>
        </w:rPr>
        <w:t>E. 5.1</w:t>
      </w:r>
    </w:p>
    <w:p>
      <w:r>
        <w:t>Die gegen den Beschwerdeführer mit Urteil vom 11. März 2010 verhängte Freiheitsstrafe belief sich auf insgesamt drei Jahre. Verurteilt wurde er wegen mehrfacher qualifizierter Widerhandlung gegen das Betäubungsmittelgesetz und wegen Widerhandlung gegen das Waffengesetz. Die Betäubungsmitteldelikte bestanden zum einen darin, dass er im Februar 2002 Anstalten traf, um ein mehr als 500 Gramm schweres Paket Kokain an einen Dritten zu übergeben, zum anderen darin, dass er als Inhaber eines Hanfladens während rund zwei Jahren, von Mai 2002 bis Mai 2004 zusammen mit seinen Angestellten mindestens 19 Kilogramm Marihuana in Betäubungsmittelqualität verkaufte. Der Verstoss gegen das Waffengesetz lag darin, dass er in seinem Fahrzeug einen geladenen Revolver mit sich führte, um sich gegen etwaige Angreifer zu verteidigen (vgl. die rechtliche Würdigung des Strafurteils E. 2.2 und 3.2 [S. 15 f.] je mit Verweis auf die Anklageschrift). Auf die Straftatbestände gelangten Art. 19 Ziff. 1 und 2 Bst. a, b und c der im Urteilszeitpunkt (und bis zum geltenden 30. Juni 2011) geltenden Fassung des Betäubungsmittelgesetzes (BetmG [SR 812.121, AS 1975 1220]) sowie die damals geltende Fassung von Art. 33 Abs. 1 Bst. a des Waffengesetzes (WG; [SR 514.54, AS 2008 5499]) zur Anwendung (vgl. S. 17 des Strafurteils).</w:t>
      </w:r>
    </w:p>
    <w:p>
      <w:r>
        <w:rPr>
          <w:b/>
        </w:rPr>
        <w:t>E. 5.2</w:t>
      </w:r>
    </w:p>
    <w:p>
      <w:r>
        <w:t>Den vorangegangenen Erwägungen zufolge können Drogendelikte, wie sie vom Beschwerdeführer begangen wurden, eine schwerwiegende Gefahr im Sinne von Art. 67 Abs. 3 Satz 2 AuG darstellen. Hiervon ist die Vorinstanz in ihrer Verfügung aber offensichtlich nicht ausgegangen und hat zudem eine unter fünf Jahren liegende Fernhaltung angeordnet. Es kann aber auch angesichts der mittlerweile mehr als zehn Jahre zurückliegenden Drogendelikte - der Hanfladen existierte bis Ende Mai 2004 - davon ausgegangen werden, dass vom Beschwerdeführer keine Gefahr mehr ausgeht, die als schwerwiegend bezeichnet werden kann. Auch das Strafgericht hat die bereits damals lange zurückliegende Tatzeit und die seitdem anscheinend "gefestigteren Verhältnisse" des Beschwerdeführers berücksichtigt und für den grösseren Teil der Strafe von zwei Jahren den bedingten Vollzug der Strafe angeordnet (vgl. Seite 18 f. des Strafurteils). Der Beschwerdeführer hat sich nach dieser Verurteilung zwar noch zwei weitere Verfehlungen zuschulden kommen lassen, beide Male wegen grober Verletzung der Verkehrsregeln (vgl. Sachverhalt B). Diese sind zwar nicht als Bagatelldelikte zu betrachten, aber auch nicht dermassen erheblich, dass sie auf eine vom Beschwerdeführer ausgehende schwerwiegende Gefahr für die öffentliche Sicherheit und Ordnung schliessen lassen. Art. 67 Abs. 3 Satz 2 AuG ist daher im vorliegenden Fall nicht anwendbar.</w:t>
      </w:r>
    </w:p>
    <w:p>
      <w:r>
        <w:rPr>
          <w:b/>
        </w:rPr>
        <w:t>E. 6</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Zürich und St. Gallen 2010, S. 138 f.).</w:t>
      </w:r>
    </w:p>
    <w:p>
      <w:r>
        <w:rPr>
          <w:b/>
        </w:rPr>
        <w:t>E. 6.1</w:t>
      </w:r>
    </w:p>
    <w:p>
      <w:r>
        <w:t>Das kriminelle Vorleben des Beschwerdeführers, sein anschliessend gezeigtes Wohlverhalten und sein Bemühen, sich künftig deliktsfrei zu verhalten, bestimmen folglich den Rahmen, um das öffentliche Interesse an seiner Fernhaltung beurteilen zu können.</w:t>
      </w:r>
    </w:p>
    <w:p>
      <w:r>
        <w:rPr>
          <w:b/>
        </w:rPr>
        <w:t>E. 6.1.1</w:t>
      </w:r>
    </w:p>
    <w:p>
      <w:r>
        <w:t>Das Fehlverhalten des Beschwerdeführers wiegt vor allem aus präventivpolizeilicher Sicht schwer.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soll eine kontinuierliche und strenge Verwaltungspraxis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und Urteil des BGer 2C_282/2012 vom 31. Juli 2012 E. 2.5).</w:t>
      </w:r>
    </w:p>
    <w:p>
      <w:r>
        <w:rPr>
          <w:b/>
        </w:rPr>
        <w:t>E. 6.1.2</w:t>
      </w:r>
    </w:p>
    <w:p>
      <w:r>
        <w:t>Das Strafgericht Basel-Land hat das Verschulden des Beschwerdeführers als schwer betrachtet (vgl. Seite 18 des Strafurteils). Dass seine Delikte im Zeitpunkt des Urteils bereits rund acht Jahre zurücklagen, hat das Strafgericht nicht daran gehindert, eine nach wie vor bestehende Rechtsunsicherheit anzunehmen, und diese vor allem der immer noch vorhandenen Neigung des Beschwerdeführers zu Alkohol- und Drogenkonsum angelastet (vgl. E. 4.2); aus diesem Grunde wurde für die Dauer der Probezeit auch Bewährungshilfe angeordnet (vgl. S. 19 des Strafurteils). Der vom Beschwerdeführer in der Rechtsmitteleingabe vermittelte Eindruck, seine Sucht gehöre zusammen mit den Drogendelikten längst der Vergangenheit an, ist folglich nicht zutreffend.</w:t>
      </w:r>
    </w:p>
    <w:p>
      <w:r>
        <w:rPr>
          <w:b/>
        </w:rPr>
        <w:t>E. 6.1.3</w:t>
      </w:r>
    </w:p>
    <w:p>
      <w:r>
        <w:t>Dass die strafrechtliche Probezeit im März 2013 abgelaufen ist, bedeutet nicht, dass der Beschwerdeführer kein Risiko für die öffentliche Sicherheit und Ordnung mehr darstellt. Strafrecht und Ausländerrecht verfolgen nämlich unterschiedliche Ziele und sind unabhängig voneinander anzuwenden. Neben der Sicherheitsfunktion hat der Strafvollzug eine resozialisierende Zielsetzung, während für die Fremdenpolizeibehörden das Interesse der öffentlichen Sicherheit und Ordnung mitsamt generalpräventiven Aspekten - wie soeben (E. 6.1.1) dargelegt - im Vordergrund steht. Hieraus ergibt sich, dass im letzteren Fall für die Legalprognose ein strengerer und über die strafrechtliche Bewährungsfrist hinausgehender Massstab anzuwenden ist (vgl. BGE 137 II 233 E. 5.2.2).</w:t>
      </w:r>
    </w:p>
    <w:p>
      <w:r>
        <w:rPr>
          <w:b/>
        </w:rPr>
        <w:t>E. 6.1.4</w:t>
      </w:r>
    </w:p>
    <w:p>
      <w:r>
        <w:t>Das öffentliche Interesse an der Fernhaltung des Beschwerdeführers ist demzufolge immer noch hoch. Bestätigt wird diese Einschätzung auch dadurch, dass der Beschwerdeführer am 12. April 2010, somit kurz nach der Verurteilung vom 11. März 2010, erneut und ein weiteres Mal am 20. September 2012 bestraft wurde (vgl. Sachverhalt B). Seinem Einwand, das Einreiseverbot hätte, wenn überhaupt, bereits viel früher ausgesprochen werden müssen, ist entgegenzuhalten, dass er über eine Niederlassungsbewilligung verfügte, die erst mit Verfügung vom 19. April 2013 widerrufen wurde.</w:t>
      </w:r>
    </w:p>
    <w:p>
      <w:r>
        <w:rPr>
          <w:b/>
        </w:rPr>
        <w:t>E. 6.2</w:t>
      </w:r>
    </w:p>
    <w:p>
      <w:r>
        <w:t>Soweit der Beschwerdeführer beklagt, die Fernhaltemassnahme beeinträchtige sein Recht auf Familienleben, ist darauf hinzuweisen, dass sein Familienleben in erster Linie durch das fehlende Anwesenheitsrecht in der Schweiz eingeschränkt wird. Die Vorinstanz konnte dem Wunsch des Beschwerdeführers nach familiärem Zusammensein demzufolge nur dadurch entsprechen, dass sie ihm mit ihrer Verfügung gleichzeitig Suspensionen des Einreiseverbots in Aussicht stellte. Zudem stammt die erst seit rund zehn Jahren in der Schweiz lebende Ehefrau des Beschwerdeführers ebenfalls aus Serbien, weshalb die familiären Kontakte - zumal mit nicht schulpflichtigem Kleinkind - problemlos und über eine längere Zeitspanne hinweg auch im gemeinsamen Herkunftsland gepflegt werden können.</w:t>
      </w:r>
    </w:p>
    <w:p>
      <w:r>
        <w:rPr>
          <w:b/>
        </w:rPr>
        <w:t>E. 6.3</w:t>
      </w:r>
    </w:p>
    <w:p>
      <w:r>
        <w:t>Der vom Beschwerdeführer als unverhältnismässig betrachtete Ausschluss seiner Bewegungsmöglichkeiten im Schengen-Raum und die sich angeblich daraus ergebenden beruflichen Einschränkungen sind auf seine Ausschreibung im SIS zurückzuführen.</w:t>
      </w:r>
    </w:p>
    <w:p>
      <w:r>
        <w:rPr>
          <w:b/>
        </w:rPr>
        <w:t>E. 6.3.1</w:t>
      </w:r>
    </w:p>
    <w:p>
      <w:r>
        <w:t>Voraussetzung einer Ausschreibung im SIS ist eine nationale Ausschreibung, die mit einer von der betreffenden Person ausgehenden Gefahr für die öffentliche Sicherheit und Ordnung oder die nationale Sicherheit begründet wird (Art. 24 Ziff. 1 SIS-II-Verordnung). Die Ausschreibung im SIS erfolgt insbesondere dann,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6.3.2</w:t>
      </w:r>
    </w:p>
    <w:p>
      <w:r>
        <w:t>Die vom Beschwerdeführer begangenen Straftaten erfüllen den von Art. 24 Ziff. 2 Bst. a SIS-II-Verordnung verlangten Schweregrad. Angesichts dessen kann dahingestellt bleiben, ob die für die Ausschreibung zuständige nationale Behörde überhaupt einen Ermessenspielraum hätte und demzufolge - bei bestehen bleibendem nationalem Einreiseverbot - eine separate Aufhebung der SIS-Ausschreibung überhaupt möglich wäre (vgl. hierzu Urteil C-3724/2012 vom 11. März 2014 E. 6.2 und 6.3). Die mit der SIS-Ausschreibung einhergehende Beeinträchtigung seiner persönlichen Bewegungsfreiheit und namentlich die seiner beruflichen Einsatzmöglichkeiten hat der Beschwerdeführer daher in Kauf zu nehmen.</w:t>
      </w:r>
    </w:p>
    <w:p>
      <w:r>
        <w:rPr>
          <w:b/>
        </w:rPr>
        <w:t>E. 6.4</w:t>
      </w:r>
    </w:p>
    <w:p>
      <w:r>
        <w:t>Die Abwägung der vorliegenden öffentlichen und privaten Interessen führt somit zum Ergebnis, dass das auf vier Jahre befristete Einreiseverbot eine verhältnismässige und angemessene Massnahme zum Schutz der öffentlichen Sicherheit und Ordnung darstellt.</w:t>
      </w:r>
    </w:p>
    <w:p>
      <w:r>
        <w:rPr>
          <w:b/>
        </w:rPr>
        <w:t>E. 7</w:t>
      </w:r>
    </w:p>
    <w:p>
      <w:r>
        <w:t>Aus diesen Erwägungen folgt, dass die angefochtene Verfügung Bundesrecht nicht verletzt (vgl. Art. 49 VwVG). Die Beschwerde ist daher abzuweisen.</w:t>
      </w:r>
    </w:p>
    <w:p>
      <w:r>
        <w:rPr>
          <w:b/>
        </w:rPr>
        <w:t>E. 8</w:t>
      </w:r>
    </w:p>
    <w:p>
      <w:r>
        <w:t>Entsprechend dem Ausgang des Verfahrens sind dem Beschwerdeführer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