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C-1317/2014 vom 16. April 2014</w:t>
      </w:r>
    </w:p>
    <w:p>
      <w:r>
        <w:t>Bundesverwaltungsgericht, 2014-04-16, DE</w:t>
      </w:r>
    </w:p>
    <w:p>
      <w:r>
        <w:rPr>
          <w:b/>
        </w:rPr>
        <w:t xml:space="preserve">Quelle: </w:t>
      </w:r>
      <w:r>
        <w:t>https://mcp.opencaselaw.ch/entscheid/bvger_C-1317_2014</w:t>
      </w:r>
    </w:p>
    <w:p>
      <w:r>
        <w:t>FR: TAF C-1317/2014 du 16 avril 2014</w:t>
      </w:r>
    </w:p>
    <w:p>
      <w:r>
        <w:t>IT: TAF C-1317/2014 del 16 aprile 2014</w:t>
      </w:r>
    </w:p>
    <w:p>
      <w:pPr>
        <w:pStyle w:val="Heading2"/>
      </w:pPr>
      <w:r>
        <w:t>Regeste</w:t>
      </w:r>
    </w:p>
    <w:p>
      <w:r>
        <w:t>Rentenanspruch</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Die Zwischenverfügung vom 26. März 2014 betreffend Leistung des Kostenvorschusses wird aufgehoben.</w:t>
      </w:r>
    </w:p>
    <w:p>
      <w:r>
        <w:rPr>
          <w:b/>
        </w:rPr>
        <w:t>E. 4</w:t>
      </w:r>
    </w:p>
    <w:p>
      <w:r>
        <w:t>Es wird keine Parteientschädigung zugesprochen.</w:t>
      </w:r>
    </w:p>
    <w:p>
      <w:r>
        <w:rPr>
          <w:b/>
        </w:rPr>
        <w:t>E. 5</w:t>
      </w:r>
    </w:p>
    <w:p>
      <w:r>
        <w:t>Dieser Entscheid geht an: - den Beschwerdeführer (Gerichtsurkunde) - die Vorinstanz (Ref-Nr. _______; Beilage: Kopie des Schreibens von B._______ vom 2. April 2014) - das Bundesamt für Sozialversicherungen Der Einzelrichter: Die Gerichtsschreiberin: Daniel Stufetti Patrizia Levante Rechtsmittelbelehrung: Gegen diesen Entscheid kann innert 30 Tagen nach Eröffnung beim Bundesgericht, 1000 Lausanne 14,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