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C-1316/2014 vom 13. März 2018</w:t>
      </w:r>
    </w:p>
    <w:p>
      <w:r>
        <w:t>Bundesverwaltungsgericht, 2018-03-13, IT</w:t>
      </w:r>
    </w:p>
    <w:p>
      <w:r>
        <w:rPr>
          <w:b/>
        </w:rPr>
        <w:t xml:space="preserve">Quelle: </w:t>
      </w:r>
      <w:r>
        <w:t>https://mcp.opencaselaw.ch/entscheid/bvger_C-1316_2014</w:t>
      </w:r>
    </w:p>
    <w:p>
      <w:r>
        <w:t>FR: TAF C-1316/2014 du 13 mars 2018</w:t>
      </w:r>
    </w:p>
    <w:p>
      <w:r>
        <w:t>IT: TAF C-1316/2014 del 13 marzo 2018</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10 aprile 2014 (doc. TAF 4), il ricorrente ha tempestivamente corrisposto l'anticipo spese richiesto (art. 21 cpv. 3 e 63 cpv. 4 PA).</w:t>
      </w:r>
    </w:p>
    <w:p>
      <w:r>
        <w:rPr>
          <w:b/>
        </w:rPr>
        <w:t>E. 1.5</w:t>
      </w:r>
    </w:p>
    <w:p>
      <w:r>
        <w:t>Va peraltro precisato che nel caso di specie sono oggetto del litigio entrambe le decisioni dell'UAIE del 17 febbraio 2014 concernenti il ricorrente.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1.6</w:t>
      </w:r>
    </w:p>
    <w:p>
      <w:r>
        <w:t>Va altresì precisato che il diritto ad una rendita d'invalidità non è strettamente personale. Esso è pertanto trasmissibile per successione (art. 560 cpv. 2 CC; cfr. DTF 136 V 7 consid. 2.1.2 con rinvii). In altri termini, il decesso del ricorrente in corso di procedura ricorsuale non rende senza oggetto il gravame da lui presentato (cfr. sentenza del TF I 455/06 del 22 gennaio 2007 consid. 3), considerato che il diritto alle prestazioni dell'assicurazione invalidità ricade nella massa ereditaria e che gli eredi, anche a titolo individuale, sono di principio autorizzati a proseguire una procedura in materia di assicurazione per l'invalidità promossa dal de cujus (8C_146/2008 del 22 aprile 2008 consid. 1; DTF 136 V 7 consid. 2.1.2 e DTF 99 V 58). Nel caso concreto, l'UAIE ha trasmesso a questo Tribunale copie del certificato di morte del ricorrente, nonché della dichiarazione sostitutiva dell'atto di notorietà, mediante la quale è dichiarato chi sono gli eredi legittimi subentrati alla morte dell'insorgente prodotte dagli eredi medesimi. La produzione di tale documentazione lascia presumere che sussiste la volontà degli eredi legittimi di volere subentrare nei diritti del ricorrente e pertanto di volere continuare la procedura che lo stesso aveva promosso dinanzi a questo Tribunale, di modo che la causa, conto tenuto altresì dell'esito della presente procedura, può essere decisa (cfr. pure sentenze del TAF 6229/2010 del 14 luglio 2011 consid. 11.3.2 e C-6241/2008 del 24 gennaio 2011 consid. 1.2).</w:t>
      </w:r>
    </w:p>
    <w:p>
      <w:r>
        <w:rPr>
          <w:b/>
        </w:rPr>
        <w:t>E. 1.7</w:t>
      </w:r>
    </w:p>
    <w:p>
      <w:r>
        <w:t>Peraltro, in caso di morte del mandante nel corso del procedimento, in mancanza di convenzione al riguardo il mandato di rappresentanza sussiste in ossequio al principio di affidamento per lo meno sino al momento in cui, conosciuti gli eredi, si sia accertato se essi intendano continuare la procedura e, se del caso, si sia designato chi è abilitato a procedere (DTF 110 V 389 con rinvii), di modo che la presente sentenza può essere notificata al rappresentante del de cujus (cfr. pure sentenza del TF 2C_498/2009 del 28 agosto 2009 consid. 2). Incomberà altresì all'UAIE di accertare a chi debba infine essere versata l'eventuale prestazione dell'assicurazione per l'invalidità a favore del de cujus che essa determinerà tenuto conto anche dei considerandi del presente giudizio, nella misura in cui permane un interesse degno di protezione (cfr. sentenza del TAF 6229/2010 del 14 luglio 2011 consid. 11.3.3).</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Ratione temporis, queste modifiche, nella misura in cui dovessero concernere questioni inerenti al presente litigio, non si applicano nel caso di specie (DTF 142 V 590 consid. 4.1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19 maggio 2011 (cfr. consid. B della presente sentenza). Ne discende che in concreto si applicano, da un lato, le disposizioni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17 febbraio 2014.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per più di un anno (cfr. doc. A 43 pagg. 98 e segg. e doc. A 77 pagg. 170 e segg., in particolare pagg. 172 e 179).</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7</w:t>
      </w:r>
    </w:p>
    <w:p>
      <w:r>
        <w:t>Una rendita limitata e/o crescente nel tempo corrisponde, materialmente, ad una revisione ai sensi dell'art. 17 LPGA e se ne deve pertanto seguire i principi.</w:t>
      </w:r>
    </w:p>
    <w:p>
      <w:r>
        <w:rPr>
          <w:b/>
        </w:rPr>
        <w:t>E. 7.1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8</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9.4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10</w:t>
      </w:r>
    </w:p>
    <w:p>
      <w:r>
        <w:t>Nel caso concreto, occorre innanzitutto verificare se l'istruttoria effettuata dall'autorità inferiore sia sufficiente, o meno, per statuire nel caso di specie.</w:t>
      </w:r>
    </w:p>
    <w:p>
      <w:r>
        <w:rPr>
          <w:b/>
        </w:rPr>
        <w:t>E. 10.1</w:t>
      </w:r>
    </w:p>
    <w:p>
      <w:r>
        <w:t>È incontestato - né appare esservi motivo per questo Tribunale di intervenire d'ufficio - che, già solo in considerazione delle patologie rilevate in correlazione con l'infortunio del 28 settembre 2010, la rendita intera accordata al ricorrente a decorrere dal 1° novembre 2011 e fino al 31 ottobre 2012 (decisione n. 1) rispettivamente i tre quarti di rendita assegnata a far tempo dal 1° novembre 2012 e fino al 28 febbraio 2013 (decisione n. 2), sono legittime e giustificate (benché la decisione del 17 febbraio 2014 mediante la quale sono stati accordati tre quarti di rendita debba essere annullata per i motivi di cui si dirà di seguito al consid. 10.2 del presente giudizio, senza possibilità di una nuova decisione dell'UAIE a detrimento dell'insorgente [cfr. consid. 12.3 della presente sentenza]). Esse sono fondate su sufficiente documentazione medica ortopedica (segnatamente i numerosi rapporti delle visite mediche circondariali eseguite dal dott. B._______, specialista in chirurgia ortopedica; cfr. in particolare il rapporto della visita medica di chiusura del 3 dicembre 2012 [visita del 29 novembre 2012; doc. B 81 pagg. 121 e segg.]) e una convincente valutazione delle conseguenti incapacità lavorative da parte del perito medesimo. In sostanza, già solo a seguito delle patologie ortopediche rilevate - ossia "stato dopo schiacciamento dorso mano destra con perdita di sostanza e lesione degli estensori IV e V dito del 28 settembre 2010; stato dopo sutura degli estensori e copertura con innesto cutaneo lo stesso giorno; stato dopo tenolisi degli estensori con transfer tendineo e ricostruzione del retinacolo degli estensori il 5 luglio 2011; persistente deficit funzionale e calo della forza", quali diagnosi con ripercussioni sulla capacità lavorativa di pertinenza dell'assicuratore contro gli infortuni -, è stata legittimamente ritenuta per l'insorgente un'incapacità lavorativa totale in qualsiasi attività dal 28 settembre 2010 (giorno dell'infortunio al dorso della mano destra) al 30 giugno 2012 e almeno del 50% dal 1° luglio 2012 al 28 novembre 2013, ciò che comporta sicuramente il riconoscimento, da parte dell'assicurazione per l'invalidità svizzera, di una rendita intera dal 1° novembre 2011 (6 mesi dopo l'inoltro della domanda del maggio 2011) al 31 ottobre 2012 (3 mesi dopo l'indicato miglioramento del 1° luglio 2012) e di almeno tre quarti di rendita dal 1° novembre 2012 al 28 febbraio 2013 (3 mesi dopo l'indicato miglioramento alla visita del 29 novembre 2012 [doc. B 81 pagg. 121 e segg.]).</w:t>
      </w:r>
    </w:p>
    <w:p>
      <w:r>
        <w:rPr>
          <w:b/>
        </w:rPr>
        <w:t>E. 10.2</w:t>
      </w:r>
    </w:p>
    <w:p>
      <w:r>
        <w:t>Per quanto attiene invece al diritto ad un'eventuale rendita superiore ai tre quarti di rendita accordata dal 1° luglio 2012 al 28 febbraio 2013 rispettivamente a una rendita anche dopo il 1° aprile (recte: marzo) 2013, si rileva quanto segue. Dall'incarto dell'autorità inferiore emerge della documentazione medica di data intercorrente dall'ottobre 2010 a settembre 2013 - ossia di data anteriore alla decisione impugnata - che fornisce concreti indizi circa la sussistenza di due problematiche ortopediche-reumatologiche, segnatamente uno stato dopo frattura scafoide con sviluppo di importante artrosi radiocarpica e stato dopo frattura omerale destra con limitazione funzionale della spalla destra, nonché una patologia tumorale, segnatamente degli esiti di cervicotomia laterale sinistra per tumore alle ghiandole salivari nel 2009, suscettibili di incidere sulla residua capacità lavorativa del ricorrente e che non sono state sufficientemente acclarate.</w:t>
      </w:r>
    </w:p>
    <w:p>
      <w:r>
        <w:rPr>
          <w:b/>
        </w:rPr>
        <w:t>E. 10.2.1</w:t>
      </w:r>
    </w:p>
    <w:p>
      <w:r>
        <w:t>Lo stato dopo frattura scafoide con sviluppo di importante artrosi radiocarpica, nonché lo stato dopo frattura omerale destra con limitazione funzionale della spalla destra, sono indicati nei rapporti delle visite mediche circondariali del dott. B._______, specialista in chirurgia ortopedica (cfr. doc. A 2 pagg. 7 e segg. [ripetuto in doc. B 33 pagg. 53 e segg.], doc. B 60 pagg. 85 e segg., doc. B 70 pagg. 101 e segg., doc. B 75 pagg. 109 e segg. e doc. B 81 pagg. 121 e segg.). Al riguardo, lo specialista ha segnalato che tali patologie non sono di competenza dell'assicuratore contro gli infortuni perché non in relazione con l'infortunio avvenuto il 28 settembre 2010. Pertanto, le stesse non sono state prese in considerazione nella valutazione del grado d'invalidità dall'assicuratore contro gli infortuni (cfr. doc. A 52 pagg. 114 e segg.). Questo Tribunale rileva certo che il medico SMR, nell'annotazione dell'11 settembre 2013, ha certo ritenuto che tali affezioni, presenti da diversi anni, non avevano alcuna incidenza sulla capacità lavorativa dell'insorgente prima dell'infortunio del 28 settembre 2010 e che pertanto l'incapacità lavorativa e la perdita di guadagno devono essere determinate conto tenuto unicamente degli esiti dell'infortunio del 2010 (doc. A 55 pag. 123). Tale generica motivazione non convince alla luce delle risultanze processuali. Questo Tribunale osserva infatti che, per quanto attiene allo stato dopo frattura scafoide con sviluppo di importante artrosi radiocarpica, nel rapporto del 28 febbraio 2011 della dott.ssa J._______, specialista in chirurgia e chirurgia della mano, è indicata la presenza di pseudoartrosi scafoide con collasso carpale e considerevole artrosi al polso radiale e che l'infortunio subito dall'interessato il 28 settembre 2010 ha sicuramente attivato l'artrosi (cfr. doc. B 28 pagg. 43 e segg., in particolare pagg. 44 e 45). Pure il dott. K._______, medico di circondario e specialista in chirurgia ortopedica, nel proprio rapporto del 4 aprile 2011, ha ritenuto che "lo schiacciamento può avere naturalmente temporaneamente attivato l'artrosi" (cfr. doc. A 2 pagg. 7 e segg. [ripetuto in doc. B 33 pagg. 53 e segg.]). Ne consegue che, senza i dovuti approfondimenti, non era possibile sapere quale fosse lo stato dell'artrosi in seguito all'infortunio - peraltro già caratterizzata quale importante e considerevole dai medici che si sono espressi al riguardo - e quale fosse la sua incidenza sulla capacità lavorativa residua dell'interessato. Per quanto attiene lo stato dopo frattura omerale destra con limitazione funzionale della spalla destra, questo Tribunale osserva che, fra le diagnosi citate nell'estratto del verbale di accertamento dell'invalidità civile, delle condizioni visive e della sordità del 23 agosto 2011 che hanno portato un'invalidità totale e una permanente inabilità lavorativa, è fatta menzione di una pregressa frattura alla clavicola destra (cfr. allegato al doc. TAF 5). Pertanto, tale affezione non poteva essere ritenuta a priori e senza alcun accertamento medico, irrilevante dal profilo della valutazione della capacità lavorativa residua dell'insorgente.</w:t>
      </w:r>
    </w:p>
    <w:p>
      <w:r>
        <w:rPr>
          <w:b/>
        </w:rPr>
        <w:t>E. 10.2.2</w:t>
      </w:r>
    </w:p>
    <w:p>
      <w:r>
        <w:t>Per quanto concerne l'affezione tumorale, questo Tribunale osserva che nel rapporto del 1° ottobre 2010 dell'L._______ è segnalata la diagnosi di "esiti di cervicotomia laterale sinistra per tumore ghiandole salivari 2009" (doc. B 11 pagg. 14 e seg.]). Nell'annotazione dell'11 settembre 2013, il medico SMR, seppure abbia menzionato tale diagnosi, ha ritenuto la stessa senza incidenza sulla capacità lavorativa residua senza esperire alcun accertamento medico in merito (doc. A 55 pag. 123). Tuttavia, questo Tribunale rileva che un approfondimento istruttorio - quale ad esempio la richiesta della cartella clinica all'oncologo curante - si rendeva e rende necessario in virtù delle risultanze di cui all'estratto del verbale di accertamento dell'invalidità civile, delle condizioni visive e della sordità del 23 agosto 2011, con riferimento alle diagnosi di "esiti di intervento alla lingua per ulcerazione neoplastica margine destro con svuotamento latero-cervicale, linfadenopatie latero-cervicali destra sospette metastatiche" ed alla constatata incapacità lavorativa del 100% (cfr. allegato al doc. TAF 5). Questa valutazione dell'incapacità lavorativa, benché non vincolante per le autorità svizzere, non poteva essere scartata, senza ulteriori approfondimenti medici oggettivi o almeno una richiesta di informazioni rispettivamente cartelle cliniche ai medici curanti rispettivamente alle strutture ospedaliere che si sono occupati del caso del ricorrente.</w:t>
      </w:r>
    </w:p>
    <w:p>
      <w:r>
        <w:rPr>
          <w:b/>
        </w:rPr>
        <w:t>E. 10.3</w:t>
      </w:r>
    </w:p>
    <w:p>
      <w:r>
        <w:t>Ne discende che, in assenza di sufficienti accertamenti in ambito ortopedico-reumatologico ed oncologico, l'istruttoria eseguita dall'autorità inferiore si rileva carente. Non risulta altresì possibile, in tali condizioni, determinarsi, con il grado della verosimiglianza preponderante valido nelle assicurazioni sociali, sullo stato di salute dell'insorgente e la relativa conseguenza sulla residua capacità lavorativa a decorrere dal 1° luglio 2012. Infatti, se per quanto attiene alle conseguenze sulla capacità lavorativa della problematica alla mano e al polso destri è giustificato un miglioramento a decorrere dal 1° luglio 2012 (cfr. consid. 10.1 della presente sentenza), la situazione non è stata sufficientemente acclarata per quanto attiene alle affezioni ortopediche-reumatologiche ed oncologiche.</w:t>
      </w:r>
    </w:p>
    <w:p>
      <w:r>
        <w:rPr>
          <w:b/>
        </w:rPr>
        <w:t>E. 11</w:t>
      </w:r>
    </w:p>
    <w:p>
      <w:r>
        <w:t>Per conseguenza, la decisione impugnata del 17 febbraio 2014 mediante la quale l'UAIE ha riconosciuto all'interessato tre quarti di rendita fino al 28 febbraio 2013, fondata su un accertamento insufficiente dei fatti giuridicamente rilevanti dal profilo ortopedico-reumatologico ed oncologico, viola il diritto federale ed incorre nell'annullamento.</w:t>
      </w:r>
    </w:p>
    <w:p>
      <w:r>
        <w:rPr>
          <w:b/>
        </w:rPr>
        <w:t>E. 12.1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limitatamente al periodo successivo al 1° luglio 2012 (cfr. consid. 10.3 del presente giudizio), con riferimento allo stato di salute del ricorrente. Conto tenuto che l'insorgente è deceduto il 28 dicembre 2016, l'esperimento di ulteriori perizie risulta impossibile. Tuttavia, l'autorità inferiore dovrà procedere ad un complemento dell'istruttoria in ambito ortopedico-reumatologico ed oncologico. Segnatamente dovrà richiedere ai medici curanti rispettivamente alle strutture ospedaliere che hanno curato il ricorrente di trasmettere le cartelle cliniche di cui dispongono comprensive della causa del decesso. L'autorità inferiore dovrà altresì richiedere all'Istituto nazionale di previdenza sociale (INPS) di trasmettere l'integralità del verbale di accertamento dell'invalidità, delle condizioni visive e della sordità del 23 agosto 2011, nonché la documentazione medica posta a fondamento della valutazione d'incapacità lavorativa del 100%. Tale documentazione sarà poi sottoposta a specialisti che dovranno valutare lo stato di salute e l'influsso delle affezioni sulla capacità lavorativa residua (cfr. sentenza del TF 9C_ 235/2013 del 10 settembre 2013 consid. 3.2 con rinvii e sentenza del TAF C-6436/2014 del 10 luglio 2017 consid. 11.1; cfr. anche, sulla possibilità di un rinvio all'autorità inferiore in siffatte circostanze [accertamento manifestamente insufficiente dei fatti giuridicamente rilevanti da parte dell'autorità inferiore, detta autorità non avendo esperito i necessari accertamenti per la determinazione dello stato di salute del ricorrente] DTF 137 V 210 consid. 4.4.1.4; cfr. altresì sentenza del TF 9C_162/2007 del 3 aprile 2008 consid. 2.3 con rinvii [cfr. consid. 8 del presente giudizio]), nonché a pronunciare una nuova decisione. Al riguardo, va altresì rammentato che in materia di revisione di una rendita incombe all'autorità inferiore di dimostrare l'intervenuto cambiamento significativo dello stato di salute dell'assicurato (nella presente fattispecie a decorrere dal 1° luglio 2012) conto tenuto dell'insieme delle patologie di cui soffre.</w:t>
      </w:r>
    </w:p>
    <w:p>
      <w:r>
        <w:rPr>
          <w:b/>
        </w:rPr>
        <w:t>E. 12.2</w:t>
      </w:r>
    </w:p>
    <w:p>
      <w:r>
        <w:t>In considerazione dell'esito della presente procedura, non vi è ragione di esaminare l'ulteriore censura sollevata dal ricorrente con riferimento alla deduzione giurisprudenziale ritenuta dall'autorità inferiore nell'ambito del raffronto dei redditi, dovendo quest'ultima nuovamente pronunciarsi sul caso.</w:t>
      </w:r>
    </w:p>
    <w:p>
      <w:r>
        <w:rPr>
          <w:b/>
        </w:rPr>
        <w:t>E. 12.3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novembre 2011 al 31 ottobre 2012 (decisione n. 1) rispettivamente i tre quarti di rendita riconosciuta dal 1° novembre 2012 al 28 febbraio 2013 (decisione n. 2) riconducibili alle sole problematiche causate dall'infortunio del 28 settembre 2010, hanno da ritenersi siccome già acquisite, le stesse non essendo state contestate e risultando giustificate (cfr. consid. 10.1 del presente giudizio). A seguito della presente sentenza, resta aperta solo la questione di sapere se gli ulteriori accertamenti sulla residua capacità lavorativa giustificano, contrariamente a quanto ritenuto nella decisione impugnata, l'attribuzione di una rendita maggiore ai tre quarti di rendita già riconosciuta a decorrere dal 1° novembre 2012 e l'attribuzione di una rendita anche successivamente al 1° marzo 2013.</w:t>
      </w:r>
    </w:p>
    <w:p>
      <w:r>
        <w:rPr>
          <w:b/>
        </w:rPr>
        <w:t>E. 13.1</w:t>
      </w:r>
    </w:p>
    <w:p>
      <w:r>
        <w:t>Visto l'esito della causa, non sono prelevate delle spese processuali (art. 63 PA). L'anticipo equivalente alle presunte spese processuali di fr. 400.-, versato il 10 aprile 2014, sarà restituito alla parte ricorrente allorquando il presente giudizio sarà cresciuto in giudicato.</w:t>
      </w:r>
    </w:p>
    <w:p>
      <w:r>
        <w:rPr>
          <w:b/>
        </w:rPr>
        <w:t>E. 13.2</w:t>
      </w:r>
    </w:p>
    <w:p>
      <w:r>
        <w:t>Ritenuto che la parte ricorrente è rappresentata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(compresi i disborsi ed esclusa l'imposta sull'IVA [cfr., fra le tante, sentenza del TAF C-995/2014 del 9 marzo 2017 consid. 10.2 con rinvii]), tenuto conto del lavoro utile e necessario svolto dal rappresentante della parte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