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C-1312/2011 vom 21. August 2012</w:t>
      </w:r>
    </w:p>
    <w:p>
      <w:r>
        <w:t>Bundesverwaltungsgericht, 2012-08-21, DE</w:t>
      </w:r>
    </w:p>
    <w:p>
      <w:r>
        <w:rPr>
          <w:b/>
        </w:rPr>
        <w:t xml:space="preserve">Quelle: </w:t>
      </w:r>
      <w:r>
        <w:t>https://mcp.opencaselaw.ch/entscheid/bvger_C-1312_2011</w:t>
      </w:r>
    </w:p>
    <w:p>
      <w:r>
        <w:t>FR: TAF C-1312/2011 du 21 août 2012</w:t>
      </w:r>
    </w:p>
    <w:p>
      <w:r>
        <w:t>IT: TAF C-1312/2011 del 21 agosto 2012</w:t>
      </w:r>
    </w:p>
    <w:p>
      <w:pPr>
        <w:pStyle w:val="Heading2"/>
      </w:pPr>
      <w:r>
        <w:t>Regeste</w:t>
      </w:r>
    </w:p>
    <w:p>
      <w:r>
        <w:t>Freiwillige Versicherung</w:t>
      </w:r>
    </w:p>
    <w:p>
      <w:pPr>
        <w:pStyle w:val="Heading2"/>
      </w:pPr>
      <w:r>
        <w:t>Erwägungen</w:t>
      </w:r>
    </w:p>
    <w:p>
      <w:r>
        <w:rPr>
          <w:b/>
        </w:rPr>
        <w:t>E. 3</w:t>
      </w:r>
    </w:p>
    <w:p>
      <w:r>
        <w:t>Vorliegend ist strittig und vom Bundesverwaltungsgericht zu prüfen, ob die SAK den Sachverhalt richtig festgestellt und den Beschwerdeführer zu Recht nicht in die freiwillige Versicherung aufgenommen hat. 3.1.1 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7 Abs. 1 VFV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obligatorischen Versicherung eingereicht werden. Nach Ablauf dieser Frist ist der Beitritt zur freiwilli­gen Versicherung nicht mehr mög­lich. Liegen ausserordentliche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(Art. 11 VFV). 3.1.2 Gemäss Art. 1a Abs. 1 lit. a AHVG sind natürliche Personen mit Wohnsitz in der Schweiz obligatorisch versichert. Gemäss Art. 13 Abs. 1 ATSG bestimmt sich der Wohnsitz einer Person nach den Art. 23 bis 26 des Zivilgesetzbuches (ZGB, SR 210). Der Wohnsitz einer Per­son befindet sich an dem Orte, wo sie sich mit der Absicht des dauern­den Verbleibens aufhält (Art. 23 Abs. 1 ZGB). Es müssen somit zwei Kriterien kumulativ erfüllt sein: objektiv physischer Aufenthalt und sub­jektiv Absicht dauernden Verbleibens. Da der Wohn­sitz nicht nur für die betroffene Person, sondern auch für Drittpersonen und das Gemein­wesen von Bedeutung ist, ist die innere Absicht des dauernden Ver­bleibs nur insoweit von Bedeutung, als sie nach aussen erkennbar ge­worden ist. Massgebend ist daher der Ort, wo sich der Mittelpunkt der Lebensbeziehungen befindet (Daniel Staehelin, in: Bas­ler Kommentar, Zivilgesetzbuch I, 3. Aufl., Basel 2006, N. 5 zu Art. 23 ZGB). Nicht massgebend ist, ob sie eine fremdenpolizeiliche Niederlassungs- oder Aufenthaltsbewilligung besitzt (BGE 133 V 309 E. 3.1, 125 V 76 E. 2a mit Hinweisen). Der Wohnsitz bleibt an diesem Ort bestehen, solange nicht anderswo ein neuer begründet wird (Art. 24 Abs. 1 ZGB).</w:t>
      </w:r>
    </w:p>
    <w:p>
      <w:r>
        <w:rPr>
          <w:b/>
        </w:rPr>
        <w:t>E. 3.2</w:t>
      </w:r>
    </w:p>
    <w:p>
      <w:r>
        <w:t>Vorliegend geht aus den Akten hervor und wird vom Beschwerdeführer geltend gemacht, dass er seit 2004 an diversen Orten im Ausland arbeitet. Zuvor lebte und arbeitete er unbestrittener­massen in der Schweiz. Er hatte somit - im Sinne des AHVG - Wohn­sitz in der Schweiz und sein Lebensmittelpunkt befand sich dort. Seine Familie lebte und lebt immer noch in der Schweiz (Z._______, Kanton Zürich). Dorthin kehrte der Beschwerdeführer jeweils zurück, wenn nach Been­digung eines Einsatzes noch nicht klar war, wohin er im Anschluss dar­an gehen würde. Ferner meldete er sich gemäss der eingereichten Wohnsitzbestätigung vom 18. Februar 2011 in Z._______ jeweils an, wenn er aus dem Ausland zurückkam. Im Ausland verbrachte er nie längere Zeit am selben Ort, da die Einsatzorte regelmässig wechselten. Es ist da­her davon auszugehen, dass der Beschwerdeführer im Ausland keinen neuen Lebensmittelpunkt und dementsprechend auch keinen Wohnsitz begründet hat. Alleine aus der formellen Abmeldung bei der Einwoh­nerkontrolle kann nicht geschlossen werden, der Beschwerdeführer habe anderswo einen neuen Wohnsitz begründet, sofern keine Ver­schiebung des Lebensmittelpunktes dorthin nachgewiesen ist. Es gibt keine Anhaltspunkte für eine Wohnsitznahme im Ausland. Es ist deshalb gemäss Art. 24 Abs. 1 ZGB davon auszugehen, dass der Beschwerdeführer nach wie vor Wohnsitz in der Schweiz hat. Dies gilt auch dann, wenn sich - im Vergleich zu früher - die Bindungen des Beschwerdeführers zur Schweiz gelockert haben sollten. Aufgrund der vorstehenden Feststellungen ist mit dem im Sozialver­sicherungsrecht erforderlichen Beweisgrad der überwiegenden Wahr­scheinlichkeit davon auszugehen, dass der Beschwerdeführer seinen Wohnsitz in der Schweiz nicht aufgegeben hat, da er nie einen neuen Wohnsitz im Ausland begründete. Der Beschwerdeführer kann zufolge Wohnsitzes in der Schweiz nicht der freiwilligen Versicherung beitre­ten. Die SAK hat somit sein Beitrittsgesuch - trotz unzutreffender Be­gründung in der Verfügung - zu Recht abgelehnt, weshalb die Be­schwerde im einzelrichterlichen Verfahren gemäss Art. 23 Abs. 2 VGG in Verbindung mit Art. 85bis Abs. 3 AHVG abzuweisen ist. Im Sinne eines obiter dictum ist darauf hinzuweisen, dass der Be­schwerdeführer gemäss Art. 16 Abs. 1 AHVG die Möglichkeit hat, Bei­träge an die obligatorische Versicherung innert fünf Jahren nach Ab­lauf des Kalenderjahres, für welches sie geschuldet sind, nachträglich zu entrichten. Die Akten gehen zurück an die SAK, damit diese das weitere Vorge­hen (Weiterleitung der Akten und Übertragung des Dossiers an die SVA Zürich) veranlassen kann.</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