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C-1307/2016 vom 21. August 2017</w:t>
      </w:r>
    </w:p>
    <w:p>
      <w:r>
        <w:t>Bundesverwaltungsgericht, 2017-08-21, DE</w:t>
      </w:r>
    </w:p>
    <w:p>
      <w:r>
        <w:rPr>
          <w:b/>
        </w:rPr>
        <w:t xml:space="preserve">Quelle: </w:t>
      </w:r>
      <w:r>
        <w:t>https://mcp.opencaselaw.ch/entscheid/bvger_C-1307_2016</w:t>
      </w:r>
    </w:p>
    <w:p>
      <w:r>
        <w:t>FR: TAF C-1307/2016 du 21 août 2017</w:t>
      </w:r>
    </w:p>
    <w:p>
      <w:r>
        <w:t>IT: TAF C-1307/2016 del 21 agosto 2017</w:t>
      </w:r>
    </w:p>
    <w:p>
      <w:pPr>
        <w:pStyle w:val="Heading2"/>
      </w:pPr>
      <w:r>
        <w:t>Regeste</w:t>
      </w:r>
    </w:p>
    <w:p>
      <w:r>
        <w:t>Zuteilung zu den Prämientarifen</w:t>
      </w:r>
    </w:p>
    <w:p>
      <w:pPr>
        <w:pStyle w:val="Heading2"/>
      </w:pPr>
      <w:r>
        <w:t>Erwägungen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3.1</w:t>
      </w:r>
    </w:p>
    <w:p>
      <w:r>
        <w:t>Die Ersatzkasse erbringt gemäss Art. 73 Abs. 1 UVG die gesetzlichen Versicherungsleistungen an verunfallte Arbeitnehmer, für deren Versicherung nicht die SUVA zuständig ist und die von ihrem Arbeitgeber nicht versichert worden sind. Die Kasse zieht vom säumigen Arbeitgeber die geschuldeten Ersatzprämien ein. Gemäss Art. 95 Abs. 1 UVG erhebt die SUVA oder die Ersatzkasse vom Arbeitgeber, der seine Arbeitnehmer nicht versichert [...] für die Dauer der Säumnis, höchstens aber für 5 Jahre, eine Ersatzprämie in der Höhe des geschuldeten Prämienbetrages.</w:t>
      </w:r>
    </w:p>
    <w:p>
      <w:r>
        <w:rPr>
          <w:b/>
        </w:rPr>
        <w:t>E. 3.2</w:t>
      </w:r>
    </w:p>
    <w:p>
      <w:r>
        <w:t>Das Bundesgericht führt in seinem Urteil 8C_250/2016 vom 16. November 2016 aus, dass Art. 95 Abs. 1 UVG ausdrücklich die Erhebung einer Ersatzprämie "in der Höhe des geschuldeten Prämienbetrages" vorsehe. Bei der Festsetzung der Prämien und der Ersatzprämien bilde deshalb jeweils Art. 92 Abs. 2 UVG die Grundlage. Auch wenn die Ersatzkasse nicht zu den Versicherern im Sinne von Art. 68 UVG gehöre, sei sie folglich nach Art. 95 Abs. 1 UVG in ihrer Funktion als "Auffangeinrichtung" (zum Tätigkeitsbereich: Art. 73 UVG) verpflichtet, zur Bemessung der Ersatzprämien eine Einreihung der Betriebe nach Art. 92 Abs. 2 UVG vorzunehmen (E. 3.2).</w:t>
      </w:r>
    </w:p>
    <w:p>
      <w:r>
        <w:rPr>
          <w:b/>
        </w:rPr>
        <w:t>E. 4.1</w:t>
      </w:r>
    </w:p>
    <w:p>
      <w:r>
        <w:t>Die Vorinstanz hat hier de facto eine Zuteilung zur Risikonummer 8934.06 (Trainer [Sport] haupt- oder nebenamtlich) des Tarifs der B._______ vorgenommen (B-act. 12 S. 2 unter Hinweis auf einen Auszug aus dem Tarif [B-act. 12 Beilage 7]). Für die Zuteilung der Betriebe zu den Risikoklassen und -stufen gelten folgende gesetzliche Grundlagen und Prinzipien:</w:t>
      </w:r>
    </w:p>
    <w:p>
      <w:r>
        <w:rPr>
          <w:b/>
        </w:rPr>
        <w:t>E. 4.2.1</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dabei werden insbesondere Unfallgefahr und Stand der Unfallverhütung berücksichtigt. Die Arbeitnehmer eines Betriebes können nach einzelnen Gruppen verschiedenen Klassen und Stufen zugeteilt werden.</w:t>
      </w:r>
    </w:p>
    <w:p>
      <w:r>
        <w:rPr>
          <w:b/>
        </w:rPr>
        <w:t>E. 4.2.2</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4.2.3</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4.2.4</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4.2.5</w:t>
      </w:r>
    </w:p>
    <w:p>
      <w:r>
        <w:t>Zudem richtet sich das Verwaltungshandeln der Vorinstanz nach dem Verwaltungsreglement der Ersatzkasse UVG, Ausgabe 2008 (B-act. 12 Beilage 1). Gemäss Ziff. 8.1.1.1 des Verwaltungsreglements darf die Ersatzprämie nur für die Dauer der Säumnisse und höchstens für 5 Jahre berechnet werden [...]. Gemäss Ziff. 8.1.1.2 wird die Ersatzprämie ermittelt, indem der auf die Säumnisdauer entfallende massgebende Lohn gemäss Art. 115 UVV auf eine Jahreslohnsumme aufgerechnet und mit dem Prämiensatz multipliziert wird, der sich aus der Einreihung des Betriebes in Gefahrenklassen und -stufen des Tarifs der B._______ ergibt.</w:t>
      </w:r>
    </w:p>
    <w:p>
      <w:r>
        <w:rPr>
          <w:b/>
        </w:rPr>
        <w:t>E. 5.1</w:t>
      </w:r>
    </w:p>
    <w:p>
      <w:r>
        <w:t>In der Beschwerde führte der Fussballclub u. a. aus, der Entscheid der Vorinstanz entbehre jeglicher Logik und jeglicher formell-gesetzlicher Grundlage. In der Beschwerde und in der Replik führte er aus, der Prämiensatz von 9,587 - 10,05 % sei nicht nachvollziehbar.</w:t>
      </w:r>
    </w:p>
    <w:p>
      <w:r>
        <w:rPr>
          <w:b/>
        </w:rPr>
        <w:t>E. 5.2</w:t>
      </w:r>
    </w:p>
    <w:p>
      <w:r>
        <w:t>In der Formulierung des Beschwerdeführers ist die Rüge zu erkennen, die Verfügung bzw. der Einspracheentscheid sei wegen mangelhafter Begründung nicht nachvollziehbar. Damit rügt er eine Verletzung des rechtlichen Gehörs, was nachfolgend zu prüfen ist.</w:t>
      </w:r>
    </w:p>
    <w:p>
      <w:r>
        <w:rPr>
          <w:b/>
        </w:rPr>
        <w:t>E. 5.3</w:t>
      </w:r>
    </w:p>
    <w:p>
      <w:r>
        <w:t>Der Anspruch auf rechtliches Gehör (Art. 29 Abs. 2 BV; Art. 42 Abs. 2 ATSG; Art. 29 VwVG) dient einerseits der Sachaufklärung, andererseits stellt das rechtliche Gehör ein persönlichkeitsbezogenes Mitwirkungsrecht beim Erlass eines Entscheids dar, welcher in die Rechtsstellung einer Per-son eingreift (BGE 132 V 368 E. 3.1 mit Hinweisen). Die Begründungs-pflicht, die betreffend Einspracheentscheiden auch in Art. 52 Abs. 2 ATSG verankert ist, soll verhindern, dass sich die Behörde von unsachlichen Mo-tiven leiten lässt, und es den Betroffenen ermöglichen, den Entscheid ge-gebenenfalls sachgerecht anzufechten (Urteil EVG I 3/05 vom 17. Juni 2005, publiziert in SVR 2006 IV Nr. 27, E. 3.1.3; vgl. auch BGE 124 V 180 E. 1a; Urteil BVGer C-278/2007 vom 26. September 2008, E. 4.1).</w:t>
      </w:r>
    </w:p>
    <w:p>
      <w:r>
        <w:rPr>
          <w:b/>
        </w:rPr>
        <w:t>E. 5.4</w:t>
      </w:r>
    </w:p>
    <w:p>
      <w:r>
        <w:t>Die Anforderungen an die Begründung sind umso höher, je weiter der Entscheidungsspielraum der entscheidenden Behörde und je komplexer die Sach- und Rechtslage sind (HÄFELIN/MÜLLER/UHLMANN, Allgemeines Verwaltungsrecht, 6. Aufl., Zürich/St. Gallen 2010, Rz. 1707 mit Hinweis). Da den Versicherern bei der Tarifgestaltung ein grosser Ermessensspielraum zusteht und es sich bei der Einreihung in den Prämientarif um eine komplexe Materie handelt, muss die Begründung entsprechend ausführlicher und umfassender sein, um die für den Entscheid wesentlichen Gesichtspunkte darzulegen (Urteil BVGer C-532/2009 vom 20. August 2012 E. 3.5.2 mit Hinweis auf BVGE 2007/27 E. 9.3; Urteil BVGer C-2615/2014 vom 30. Januar 2017 E. 4.1).</w:t>
      </w:r>
    </w:p>
    <w:p>
      <w:r>
        <w:rPr>
          <w:b/>
        </w:rPr>
        <w:t>E. 5.5</w:t>
      </w:r>
    </w:p>
    <w:p>
      <w:r>
        <w:t>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127 V 431 E. 3d/aa, BGE 115 V 297 E. 2h). Von einer Rückweisung der Sache zur Gewährung des rechtlichen Gehörs an die Verwaltung kann im Sinne einer Heilung des Mangels selbst bei einer schwerwiegenden Verletzung des rechtlichen Gehörs abgesehen werden, wenn und soweit die Rückwei-sung zu einem formalistischen Leerlauf und damit zu unnötigen Verzöge-rungen führen würde, die mit dem Interesse der betroffenen Partei an einer beförderlichen Beurteilung der Sache nicht zu vereinbaren wären (BGE 116 V 182 E. 3d).</w:t>
      </w:r>
    </w:p>
    <w:p>
      <w:r>
        <w:rPr>
          <w:b/>
        </w:rPr>
        <w:t>E. 6.1</w:t>
      </w:r>
    </w:p>
    <w:p>
      <w:r>
        <w:t>Vorliegend stellte die Vorinstanz in ihrer Verfügung vom 9. Juni 2015 (Police 7.903.862) die Ersatzprämien für den Zeitraum vom 12. Juni 2010 bis 11. Juni 2015 zuzüglich Verzugszins im Gesamtbetrag von Fr. 26'825.15 in Rechnung (B-act. 1 Beilage 1.29). In der Verfügung hielt sie für die Jahre 2010 bis 2015 die jeweiligen Jahreslöhne und jeweiligen Prämiensätze für die Berufsunfallversicherung (BUV) und die Nichtberufsunfallversicherung (NBUV) sowie die Höhe des Verzugszinses fest.</w:t>
      </w:r>
    </w:p>
    <w:p>
      <w:r>
        <w:rPr>
          <w:b/>
        </w:rPr>
        <w:t>E. 6.2</w:t>
      </w:r>
    </w:p>
    <w:p>
      <w:r>
        <w:t>In der Einsprache (B-act. 1 Beilage 28) beantragte der Beschwerdeführer die Reduktion der Prämie mit der Begründung, das Risiko sei falsch ermittelt worden. Die Berechnung sei nicht transparent und nicht nachvollziehbar. Es werde nicht ersichtlich, mit welchem Risikofaktor die Tätigkeit der Versicherten gewichtet werde. Bei den Versicherten handle es sich um Trainer im Nebenamt und einen Geschäftsführer mit einem Teilzeitpensum. Zudem sei es unverhältnismässig, auf fünf Jahre zurück finanziell belangt zu werden.</w:t>
      </w:r>
    </w:p>
    <w:p>
      <w:r>
        <w:rPr>
          <w:b/>
        </w:rPr>
        <w:t>E. 6.3</w:t>
      </w:r>
    </w:p>
    <w:p>
      <w:r>
        <w:t>In ihrem Einspracheentscheid vom 29. September 2015 (B-act. 1 Beilage 27) stützte sich die Vorinstanz auf die massgeblichen gesetzlichen Bestimmungen, insbesondere auf Art. 92 UVG. Art. 92 Abs. 2 UVG halte fest, dass für die Bemessung der Prämien in der Berufsunfallversicherung die Betriebe nach ihrer Art und ihren Verhältnissen in Klassen des Prämientarifs und innerhalb dieser in Stufen eingereiht würden, wobei insbesondere die Unfallgefahr berücksichtigt werde. Der letzte Satz von Art. 92 Abs. 2 UVG sei eine Kann-Bestimmung, was bedeute, dass der Versicherer nicht verpflichtet sei, einzelne Gruppen mit verschiedenen Klassen und Stufen im Prämientarif zu berücksichtigen. Es müsse keine Unterscheidung zwischen aktiven Spielern, Administrativpersonal oder sonstigem Personal gemacht werden. Der jeweilige Prämiensatz entspreche demjenigen der B._______, der federführenden Gesellschaft der Vorinstanz. Der Tarif sei dem Bundesamt für Sozialversicherungen eingereicht und nicht beanstandet worden. Konkrete weitere Ausführungen zur Einreihung im Prämientarif fehlen.</w:t>
      </w:r>
    </w:p>
    <w:p>
      <w:r>
        <w:rPr>
          <w:b/>
        </w:rPr>
        <w:t>E. 6.4</w:t>
      </w:r>
    </w:p>
    <w:p>
      <w:r>
        <w:t>Die Vorinstanz hat durch die sehr allgemein gehaltene Begründung das rechtliche Gehör des Beschwerdeführers gleich in mehrfacher Weise verletzt.</w:t>
      </w:r>
    </w:p>
    <w:p>
      <w:r>
        <w:rPr>
          <w:b/>
        </w:rPr>
        <w:t>E. 6.4.1</w:t>
      </w:r>
    </w:p>
    <w:p>
      <w:r>
        <w:t>Die Vorinstanz hat weder in der Verfügung noch in ihrem Einsprachentscheid dargelegt, in welche Risikoklasse bzw. -stufe bzw. in welche Tarifposition der Beschwerdeführer eingereiht wurde. Schon allein die Tatsache, dass der Beschwerdeführer weder bei seiner Einsprache noch bei Beschwerdeerhebung wusste, in welche Risikoklasse und -stufe er von der Vorinstanz eingereiht worden ist (Risikonummer 8934.06, Trainer [Sport] haupt- oder nebenamtlich), machte eine sachgerechte und begründete Anfechtung unmöglich, zumal er die - faktisch erfolgte - Einreihung nicht hat nachvollziehen können (vgl. vorne E. 5.3, 5.4).</w:t>
      </w:r>
    </w:p>
    <w:p>
      <w:r>
        <w:rPr>
          <w:b/>
        </w:rPr>
        <w:t>E. 6.4.2</w:t>
      </w:r>
    </w:p>
    <w:p>
      <w:r>
        <w:t>Der Verfügung und dem Einspracheentscheid wurden keine tariflichen Grundlagen beigelegt, welche es dem Beschwerdeführer erlaubt hätten, die Einreihung zu überprüfen. Es erfolgte lediglich ein genereller Hinweis auf den Tarif der B.______. Auch diese Tatsache machte es dem Beschwerdeführer unmöglich, den Einspracheentscheid sachgerecht (mit den massgeblichen tariflichen Grundlagen als Beleg) anzufechten.</w:t>
      </w:r>
    </w:p>
    <w:p>
      <w:r>
        <w:rPr>
          <w:b/>
        </w:rPr>
        <w:t>E. 6.4.3</w:t>
      </w:r>
    </w:p>
    <w:p>
      <w:r>
        <w:t>In ihrer im Beschwerdeverfahren eingereichten Stellungnahme vom 13. Januar 2017 erwähnte die Vorinstanz im Zusammenhang mit dem anzuwendenden Prämiensatz erstmalig das eigene Verwaltungsreglement, Ausgabe 2008 (B-act. 12 Beilage 1), auf welche sie sich ebenfalls abstützte. Dieses Reglement wurde vorher weder im Verwaltungs- noch zu Beginn des Beschwerdeverfahrens als Entscheidgrundlage erwähnt. Auch deshalb war es dem Beschwerdeführer bis zu diesem Zeitpunkt nicht möglich, die Grundlagen der Einreihung zu überprüfen, und zu prüfen, ob sich die Vorinstanz an die interne Reglementierung gehalten hat.</w:t>
      </w:r>
    </w:p>
    <w:p>
      <w:r>
        <w:rPr>
          <w:b/>
        </w:rPr>
        <w:t>E. 6.4.4</w:t>
      </w:r>
    </w:p>
    <w:p>
      <w:r>
        <w:t>Im Einsprachentscheid (B-act. 1 Beilage 27) wies die Vorinstanz darauf hin, dass bei der Einreihung keine Unterscheidung zwischen aktiven Spielern, Administrativpersonal oder sonstigem Personal gemacht werden müsse. Bei Art. 92 Abs. 2 UVG handle es sich um eine Kann-Bestimmung, welche nicht angewendet werde. Auch diese Ausführung ist für den Beschwerdeführer nicht überprüfbar. Erstens fehlt ein Hinwies auf die konkrete tarifliche Bestimmung, welche eine Mischtarifierung oder Tarifierung nach einzelnen Betriebsgruppen ausschliesst, zweitens wurde ihm der Tarif nicht ausgehändigt. So konnte er nicht nachvollziehen, ob im Tarif der B._______ tatsächlich keine Tarifierung nach einzelnen Betriebsgruppen (Unterscheidung zwischen aktiven Spielern, Administrativpersonal oder sonstigem Personal) vorgesehen ist.</w:t>
      </w:r>
    </w:p>
    <w:p>
      <w:r>
        <w:rPr>
          <w:b/>
        </w:rPr>
        <w:t>E. 6.5</w:t>
      </w:r>
    </w:p>
    <w:p>
      <w:r>
        <w:t>Insgesamt war es dem Beschwerdeführer mangels einer ausreichend konkreten Begründung und mangels Herausgabe der entscheidrelevanten reglementarischen und tariflichen Unterlagen unmöglich, die korrekte Anwendung des Tarifs nachzuvollziehen und zu überprüfen. Eine substantiierte Anfechtung des Einspracheentscheids war so nicht möglich (vgl. vorne E. 5.3, 5.4). Deshalb hat die Vorinstanz wegen mangelhafter Begründung der angefochtenen Verfügung das rechtliche Gehör des Beschwerdeführers verletzt.</w:t>
      </w:r>
    </w:p>
    <w:p>
      <w:r>
        <w:rPr>
          <w:b/>
        </w:rPr>
        <w:t>E. 6.6</w:t>
      </w:r>
    </w:p>
    <w:p>
      <w:r>
        <w:t>Eine Heilung des Mangels ist vorliegend nicht möglich, da es die Vorinstanz auch im Beschwerdeverfahren unterlassen hat, den Tarif der B._______ als Grundlage für die Einreihung (allenfalls - aus urheber- und/oder datenschutzrechtlichen Gründen - teilweise geschwärzt) einzureichen. Die erst im Beschwerdeverfahren in ihrer letzten Eingabe an das Gericht vom 13. Januar 2017 hat die Vorinstanz eine einzige Seite des Tarifs der B._______ als Kopie beigelegt (B-act. 12 Beilage 7). Damit war es dem Gericht im Beschwerdeverfahren nicht möglich, die Rechtmässigkeit der Einreihung nachzuvollziehen. Dies gilt für die Richtigkeit der Einreihung generell sowie im Hinblick auf die Behauptungen der Vorinstanz, der Tarif sehe weder eine Mischtarifierung noch eine Gruppenbildung vor und die B._______ orientiere sich bei der Einreihung von Sportvereinen immer am höchsten Risiko. Es sei hier darauf hingewiesen, dass es für diese behauptete Handhabung einer tariflichen oder reglementarischen Grundlage bedarf. Ob vorliegend nicht nur ein Begründungsdefizit, sondern auch ein Regelungsdefizit (mangelnde Regelungsdichte, vgl. dazu BVGE 2007/27 E. 10.3) vorliegt, kann das Gericht mangels Einsicht in die tariflichen Unterlagen ebenfalls nicht prüfen. Die Nennung eines Zeugen betreffend Handhabung des Tarifs in wesentlichen Punkten, wie dies die Vorinstanz getan hat, genügt nicht. Da die Tarifunterlagen weiterhin nicht vollständig vorliegen, wiese eine materielle Prüfung der Rechtmässigkeit der de facto-Einreihung in den Prämientarif rein spekulative Elemente auf, was ebenfalls gegen eine Heilung spricht. Nicht zu prüfen ist bei diesem Ausgang des Verfahrens die Frage der Verhältnismassigkeit, sowohl im Hinblick auf die Einreihung als auch im Hinblick auf die Dauer der Ersatzperiode.</w:t>
      </w:r>
    </w:p>
    <w:p>
      <w:r>
        <w:rPr>
          <w:b/>
        </w:rPr>
        <w:t>E. 7</w:t>
      </w:r>
    </w:p>
    <w:p>
      <w:r>
        <w:t>Die Beschwerde ist damit gutzuheissen. Die Sache ist im Sinne der Erwägungen an die Vorinstanz zurückzuweisen, damit diese den Sachverhalt abkläre, eine Zuteilung gemäss Art. 92 Abs. 2 UVG vornehme und für die Ersatzperiode eine neue Verfügung erlasse.</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Infolge Gut-heissung der Beschwerde sind dem Beschwerdeführer keine Verfahrens-kosten aufzuerlegen. Der von ihm geleistete Kostenvorschuss in der Höhe von Fr. 2'000.- ist ihm nach Rechtskraft des vorliegenden Urteils zurückzu-erstatten. Der Vorinstanz werden ebenfalls keine Verfahrenskosten aufer-legt (Art. 63 Abs. 2 VwVG).</w:t>
      </w:r>
    </w:p>
    <w:p>
      <w:r>
        <w:rPr>
          <w:b/>
        </w:rPr>
        <w:t>E. 8.2</w:t>
      </w:r>
    </w:p>
    <w:p>
      <w:r>
        <w:t>Der obsiegenden Partei kann von Amtes wegen oder auf Begehren eine Entschädigung für ihr erwachsene notwendige und verhältnismässig hohe Kosten zugesprochen werden (Art. 64 Abs. 1 VwVG). Da dem nicht vertretenen Beschwerdeführer keine unverhältnismässig hohen Kosten entstanden sind, ist keine Parteientschädigung zuzusprechen (vgl. auch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