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C-1294/2008 vom 21. August 2009</w:t>
      </w:r>
    </w:p>
    <w:p>
      <w:r>
        <w:t>Bundesverwaltungsgericht, 2009-08-21, DE</w:t>
      </w:r>
    </w:p>
    <w:p>
      <w:r>
        <w:rPr>
          <w:b/>
        </w:rPr>
        <w:t xml:space="preserve">Quelle: </w:t>
      </w:r>
      <w:r>
        <w:t>https://mcp.opencaselaw.ch/entscheid/bvger_C-1294_2008</w:t>
      </w:r>
    </w:p>
    <w:p>
      <w:r>
        <w:t>FR: TAF C-1294/2008 du 21 août 2009</w:t>
      </w:r>
    </w:p>
    <w:p>
      <w:r>
        <w:t>IT: TAF C-1294/2008 del 21 agosto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ist das Bundesgesetz vom 16. Dezember 2005 über die Ausländerinnen und Ausländer (AuG, SR 142.20) in Kraft getreten. Mit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am 12. Dezember 2008, hat sich die Rechtslage erneut geändert. Ungeachtet der Übergangsbestimmung von Art. 126 Abs. 1 AuG sind Verfahren, die am 12. Dezember 2008 hängig sind, nach neuem (Schengen-) Recht fortzuführen (Art. 57 der Verordnung vom 22. Oktober 2008 über die Einreise und die Visumerteilung [VEV, SR 142.204]; vgl. dazu ausführlich statt vieler das Urteil des Bundesverwaltungsgerichts C-450/2008 vom 4. April 2009 E. 4).</w:t>
      </w:r>
    </w:p>
    <w:p>
      <w:r>
        <w:rPr>
          <w:b/>
        </w:rPr>
        <w:t>E. 5.1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Sri Lanka findet sich im Anhang I, so dass der Gesuchsteller der Visumspflicht unterliegt.</w:t>
      </w:r>
    </w:p>
    <w:p>
      <w:r>
        <w:rPr>
          <w:b/>
        </w:rPr>
        <w:t>E. 7.1</w:t>
      </w:r>
    </w:p>
    <w:p>
      <w:r>
        <w:t>Wenn es zu beurteilen gilt, ob das Kriterium der gesicherten Wiederausreise erfüllt ist, muss ein zukünftiges Verhalten beurteilt werden. Dazu lassen sich in der Regel keine Feststellungen, sondern lediglich Prognosen machen. Dabei sind sämtliche Umstände des Einzelfalles zu würdigen.</w:t>
      </w:r>
    </w:p>
    <w:p>
      <w:r>
        <w:rPr>
          <w:b/>
        </w:rPr>
        <w:t>E. 7.2</w:t>
      </w:r>
    </w:p>
    <w:p>
      <w:r>
        <w:t>Anhaltspunkte zur Beurteilung der fristgerechten Wiederausreise können sich aus der allgemeinen Lage des Herkunfts- oder Heimatstaates der Gesuchstellerin oder des Gesuchstellers ergeben. Kommt die gesuchstellende Person aus einem Land oder einer Region mit politisch oder wirtschaftlich vergleichsweise ungünstigen Verhältnissen, so kann dies darauf hindeuten, dass die persönliche Interessenlage nicht mit dem Ziel und Zweck einer zeitlich befristeten Einreisebewilligung in Einklang steht.</w:t>
      </w:r>
    </w:p>
    <w:p>
      <w:r>
        <w:rPr>
          <w:b/>
        </w:rPr>
        <w:t>E. 7.2.1</w:t>
      </w:r>
    </w:p>
    <w:p>
      <w:r>
        <w:t>Die Wirtschaft Sri Lankas ist im Jahre 2007 real um 7,4 % gewachsen. Das Pro-Kopf-Einkommen betrug 1'350 USD, das Bruttoinlandprodukt (BIP) 27 Mrd. USD. Für das Jahr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etwa 7 %.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Länder- und Reiseinformationen auf der Webseite des deutschen Auswärtigen Amtes: www.auswaertiges-amt.de &gt; Sri Lanka &gt; Wirtschaft, Stand: November 2008, besucht am 7. August 2009). Darüber hinaus hat sich die Sicherheitslage im ganzen Land seit Anfang 2006 wieder verschlechtert, nachdem erneut Kämpfe zwischen dem Militär und der "Liberation Tigers of Tamil Eelam" (LTTE) ausgebrochen waren. Davon besonders betroffen waren der Osten und der Norden Sri Lankas. Am 17. Mai 2009 legten die LTTE nach einem über zwanzigjährigen bewaffneten Konflikt die Waffen nieder, woraufhin die Regierung den Krieg für beendet erklärte. Die Lage im ganzen Land ist aber nach wie vor angespannt und mit Anschlägen - auch in der Hauptstadt Colombo - muss weiterhin gerechnet werden. Auch kann nicht ausgeschlossen werden, dass einzelne Gruppen der LTTE den Guerilla-Krieg weiterführen (Quellen: Länder- und Reiseinformationen des Deutschen Auswärtigen Amtes, a.a.O., Rubrik Reise- und Sicherheitshinweis/Teilreisewarnung, Stand 5. Juni 2009, Reisehinweise des Eidgenössischen Departements für auswärtige Angelegenheiten [EDA], www.eda.admin.ch, Stand 22. Mai 2009, beide Seiten besucht am 7. August 2009; vgl. auch BVGE 2008/2 E. 7.2 bis 7.5).</w:t>
      </w:r>
    </w:p>
    <w:p>
      <w:r>
        <w:rPr>
          <w:b/>
        </w:rPr>
        <w:t>E. 7.2.2</w:t>
      </w:r>
    </w:p>
    <w:p>
      <w:r>
        <w:t>Die Tendenz zur Auswanderung zeigt sich zwar erfahrungsgemäss besonders stark bei jüngeren und ungebundenen Personen, aber auch sozial eingebundene Menschen reiferen Alters fassen oft diesen Weg ins Auge. Ein im Ausland bereits bestehendes soziales Beziehungsnetz (Freunde oder Verwandte)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Die schwierige Lage des Landes spiegelt sich übrigens in der schweizerischen Asylstatistik wider, in der Sri Lanka im Jahre 2008 mit 1'262 Gesuchen die fünftgrösste Gruppe von Asylsuchenden stellte, wobei sich die Anzahl der Gesuche wegen der Eskalation des bewaffneten Konflikts im Vergleich zum Vorjahr fast verdoppelt hat. Dieser Trend setzte sich auch in den ersten sieben Monaten dieses Jahres fort: Im genannten Zeitraum des Jahres 2008 reichten 572 Personen aus Sri Lanka ein Asylgesuch ein, im gleichen Zeitraum 2009 waren es 954 (vgl. BFM-Asylstatisik 2008 vom 12. Januar 2009, S. 4 und S. 9, Monatsstatistiken 2008 und 2009, im Internet unter: www.bfm.admin.ch &gt; Themen &gt; Statistiken, besucht am 7. August 2009).</w:t>
      </w:r>
    </w:p>
    <w:p>
      <w:r>
        <w:rPr>
          <w:b/>
        </w:rPr>
        <w:t>E. 7.3</w:t>
      </w:r>
    </w:p>
    <w:p>
      <w:r>
        <w:t>Angesichts der schwierigen Lage im Herkunftsland des Gesuchstellers ist nicht zu beanstanden, dass die Vorinstanz das Risiko einer nicht fristgerechten Wiederausreise von Besuchern aus Sri Lanka generell als hoch einschätzt. Bei der Risikoanalyse sind allerdings nicht nur solch allgemeine Umstände und Erfahrungen, sondern auch sämtliche Gesichtspunkte des konkreten Einzelfalles zu berücksichtigen. Obliegt dem Gesuchsteller oder der Gesuchstellerin im Heimat- oder Herkunftsstaat beispielsweise eine besondere berufliche, gesellschaftliche oder familiäre Verantwortung, kann dieser Umstand durchaus die Prognose für eine anstandslose Wiederausreise begünstigen. Umgekehrt muss bei Gesuchstellerinnen und Gesuchstellern, die keine besonderen Verpflichtungen haben, die sie von einer möglichen Emigration abhalten könnten, aufgrund entsprechender Erfahrungen das Risiko eines fremdenpolizeilich nicht vorschriftsgemässen Verhaltens nach bewilligter Einreise zu einem Besuchsaufenthalt als hoch eingeschätzt werden.</w:t>
      </w:r>
    </w:p>
    <w:p>
      <w:r>
        <w:rPr>
          <w:b/>
        </w:rPr>
        <w:t>E. 7.4</w:t>
      </w:r>
    </w:p>
    <w:p>
      <w:r>
        <w:t>Der Gesuchsteller ist 60 Jahre alt und verheiratet. Im Formular des Visumsgesuches gab er an, pensioniert zu sein. Zudem machte er geltend, Eigentümer eines Hauses in Colombo zu sein. Weitere Informationen über die persönlichen Verhältnisse in Sri Lanka sind den Akten nicht zu entnehmen. Aus diesen wenigen Angaben ergeben sich keine Anhaltspunkte für besondere gesellschaftliche, berufliche oder familiäre Verpflichtungen des Gesuchstellers im Heimatland, die ihn nachhaltig von einer Emigration abzuhalten vermöchten. Dass der Gesuchsteller alleine in die Schweiz kommen soll, seine Ehefrau also in Sri Lanka zurückbleiben würde, kann an dieser Beurteilung nichts ändern, da erfahrungsgemäss zurückbleibende Angehörige keinen Hinderungsgrund für eine Emigration darstellen. Zudem leben mit der Beschwerdeführerin und ihrem Mann sowie deren fünf Kindern nahe Verwandte hier, eine Tatsache, die es dem Gesuchsteller, nicht zuletzt angesichts der angespannten politischen bzw. wirtschaftlichen Verhältnisse in Sri Lanka, erleichtern könnte, den Entschluss für eine Emigration zu fällen.</w:t>
      </w:r>
    </w:p>
    <w:p>
      <w:r>
        <w:rPr>
          <w:b/>
        </w:rPr>
        <w:t>E. 7.5</w:t>
      </w:r>
    </w:p>
    <w:p>
      <w:r>
        <w:t>Unter den gegebenen Umständen ist die Vorinstanz zu Recht davon ausgegangen, dass nicht genügend Gewähr für die fristgerechte Wiederausreise nach einem Besuchsaufenthalt bestehe. An dieser Einschätzung vermag der für den Besuchsaufenthalt angegebene Grund nichts zu ändern. Angesichts der schwierigen Lage im Herkunftsland und der spärlichen Informationen über die persönlichen Verhältnisse des Gesuchstellers, kann auch der an sich nachvollziehbare Wunsch danach, die inzwischen fünf Enkelkinder kennenzulernen, an der Beurteilung nichts ändern.</w:t>
      </w:r>
    </w:p>
    <w:p>
      <w:r>
        <w:rPr>
          <w:b/>
        </w:rPr>
        <w:t>E. 8</w:t>
      </w:r>
    </w:p>
    <w:p>
      <w:r>
        <w:t>Aus den vorangegangen Erwägungen folgt, dass die angefochtene Verfügung im Lichte von Art. 49 VwVG rechtmässig ist. Die Beschwerde ist daher abzuweisen.</w:t>
      </w:r>
    </w:p>
    <w:p>
      <w:r>
        <w:rPr>
          <w:b/>
        </w:rPr>
        <w:t>E. 9</w:t>
      </w:r>
    </w:p>
    <w:p>
      <w:r>
        <w:t>Bei diesem Ausgang des Verfahrens sind die Kosten der Beschwerdeführerin aufzuerlegen (vgl. Art. 63 Abs. 1 VwVG i.V.m. Art. 1 und Art. 3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