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C-1293/2010 vom 27. September 2010</w:t>
      </w:r>
    </w:p>
    <w:p>
      <w:r>
        <w:t>Bundesverwaltungsgericht, 2010-09-27, FR</w:t>
      </w:r>
    </w:p>
    <w:p>
      <w:r>
        <w:rPr>
          <w:b/>
        </w:rPr>
        <w:t xml:space="preserve">Quelle: </w:t>
      </w:r>
      <w:r>
        <w:t>https://mcp.opencaselaw.ch/entscheid/bvger_C-1293_2010</w:t>
      </w:r>
    </w:p>
    <w:p>
      <w:r>
        <w:t>FR: TAF C-1293/2010 du 27 septembre 2010</w:t>
      </w:r>
    </w:p>
    <w:p>
      <w:r>
        <w:t>IT: TAF C-1293/2010 del 27 settembre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in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règlement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prévues par le code frontières Schengen correspondent, pour l'essentiel, à celles posées à l'art. 5 LEtr.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(art. 21 par. 1 du code des visas).</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ressortissante du Vietnam, B._______ est soumise à l'obligation du visa.</w:t>
      </w:r>
    </w:p>
    <w:p>
      <w:r>
        <w:rPr>
          <w:b/>
        </w:rPr>
        <w:t>E. 7.1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8.1</w:t>
      </w:r>
    </w:p>
    <w:p>
      <w:r>
        <w:t>Dans la décision attaquée, rendue en application de l'art. 5 LEtr, l'ODM a refusé d'autoriser l'intéressée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l'intéressée est disposée à quitter l'Espace Schengen à l'échéance de son séjour ou s'il apparaît, au contraire, qu'elle cherche à pénétrer et à s'établir dans le territoire des Etats membres sous le couvert d'un visa pour visite familiale et touristique. Afin de déterminer si l'étranger présente les garanties nécessaires à sa sortie de Suisse, l'autorité se base, d'une part, sur la situation politique, sociale et économique prévalant dans le pays de provenance de l'intéressé et, d'autre part, sur sa situation personnelle, familiale et professionnelle.</w:t>
      </w:r>
    </w:p>
    <w:p>
      <w:r>
        <w:rPr>
          <w:b/>
        </w:rPr>
        <w:t>E. 8.2</w:t>
      </w:r>
    </w:p>
    <w:p>
      <w:r>
        <w:t>En l'occurrence, il faut prendre en considération la situation socio-économique prévalant au Vietnam ainsi que les disparités économiques importantes existant entre ce pays et la Suisse. Le Vietnam jouit certes d'une économie qui compte parmi les plus dynamiques dans la région, avec une croissance de 5,3 % en 2009, malgré la crise financière mondiale. Il figure en outre parmi les pays ayant la croissance la plus élevée et est aujourd'hui le 3ème exportateur mondial de riz. L'économie vietnamienne reste cependant encore très dépendante des investissements étrangers et des exportations, notamment vers les Etats-Unis et l'Europe. Un certain nombre de déséquilibres économiques sont par ailleurs apparus en 2008-2009, parmi lesquels l'emballement de l'inflation (qui atteignait 27,9% fin septembre 2008 en glissement annuel), le creusement du déficit commercial (4,8 milliards USD en 2006 ; 18 milliards USD en 2008), de fortes tensions sur la monnaie qui ont amené les autorités à la laisser se déprécier légèrement et le creusement du déficit public, entraîné notamment par les investissements massifs réalisés par les entreprises publiques. Sans remettre en cause le rythme de croissance du pays, la crise économique et financière mondiale a renversé certaines tendances. Les échanges extérieurs ont été fortement dégradés. La crise internationale a également joué sur les transferts de la diaspora, importants contributeurs à la croissance du PIB, qui ont marqué un net recul en 2009 (moins 20% au premier semestre). Des signes de reprise sont toutefois apparus dès la fin 2009, et les perspectives de croissance pour 2010 restent parmi les plus élevées d'Asie avec 6%, selon les prévisions du FMI. En 2009, le PIB par habitant était de 2'862 USD (cf. site du Ministère des affaires étrangères et européennes de la République française www.diplomatie.gouv.fr &gt; Pays - zone géo &gt; Vietnam &gt; Présentation du Vietnam, mis à jour le 25 juin 2010, visité en septembre 2010). Ces conditions économiques difficiles ne sont pas sans exercer une pression migratoire importante, en particulier sur la population jeune, cette tendance étant encore renforcée lorsque les personnes concernées peuvent s'appuyer à l'étranger sur un réseau social (parents, amis) préexistant, ce qui est le cas en l'espèce. L'autorité ne saurait toutefois se fonder sur la seule situation régnant dans le pays d'origine du requérant, mais doit également prendre en considération les particularités du cas d'espèce (cf. ATAF 2009/27 précité consid. 7 et 8 p. 345). Ainsi, si un invité assume dans son pays d'origine d'importantes responsabilités, tant au plan professionnel, social que familial, on pourra établir un pronostic favorable quant à son départ de la Suisse à l'issue de la validité de son visa. Au contraire, si un invité n'a pas d'obligations significatives dans son pays, on considère comme élevé le risque d'un comportement contraire aux prescriptions de police des étrangers.</w:t>
      </w:r>
    </w:p>
    <w:p>
      <w:r>
        <w:rPr>
          <w:b/>
        </w:rPr>
        <w:t>E. 9</w:t>
      </w:r>
    </w:p>
    <w:p>
      <w:r>
        <w:t>En l'espèce, sans pour autant minimiser les raisons d'ordre amical qui motivent sa demande, le Tribunal ne saurait admettre, au vu de l'ensemble des éléments du dossier, que le retour de B._______ au Vietnam au terme de l'autorisation demandée puisse être considéré comme suffisamment garanti. Ainsi qu'il ressort des renseignements qui ont été communiqués aux autorités suisses dans le cadre de la présente cause, la prénommée est une femme divorcée, âgée de 43 ans et sans emploi. Même si elle paraît disposer au Vietnam d'attaches familiales en la personne de ses deux enfants, ainsi que d'autres membres de sa famille, et si de tels liens peuvent, dans une certaine mesure, inciter une personne, au terme du séjour envisagé en Suisse, à retourner dans son pays, ils ne sauraient toutefois suffire, en l'espèce, à garantir le retour de l'intéressée au Vietnam. Le Tribunal se doit de relever à cet égard que l'allégation tirée de l'étroitesse des liens familiaux de B._______ au Vietnam doit être fortement relativisée, si l'on considère qu'elle a sollicité un visa pour la durée maximale de trois mois en vue d'une simple visite amicale à des personnes qu'elle aurait pourtant rencontrées à maintes reprises ces dernières années au Vietnam, selon les informations qu'elle a fournies lors de sa demande de visa. Il convient de relever au surplus que, dans sa lettre d'invitation du 15 mai 2009, le recourant mentionnait que le séjour en Suisse de B._______ (alors envisagé avec sa fille) durerait trois ou six mois. Il est permis d'en conclure que la prénommée est prête à s'absenter du Vietnam pour une période prolongée, perspective qui ne l'empêcherait pas de se faire rejoindre ultérieurement par ses enfants, et que, dans ces circonstances, son retour à l'échéance du visa requis ne peut guère être considéré comme suffisamment garanti.</w:t>
      </w:r>
    </w:p>
    <w:p>
      <w:r>
        <w:rPr>
          <w:b/>
        </w:rPr>
        <w:t>E. 10</w:t>
      </w:r>
    </w:p>
    <w:p>
      <w:r>
        <w:t>Il sied de relever enfin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(cf. ATAF 2009/27 consid. 9 p. 347) et ne suffisent pas non plus à garantir que son départ interviendra dans les délais prévus. Par surabondance, il convient de remarquer que le refus d'autorisation d'entrée prononcé par l'ODM n'a pas pour conséquence d'empêcher le recourant et son épouse de maintenir des liens avec leur invitée, ceux-ci pouvant tout aussi bien continuer à se rencontrer au Vietnam, comme ils l'ont déjà fait par le passé.</w:t>
      </w:r>
    </w:p>
    <w:p>
      <w:r>
        <w:rPr>
          <w:b/>
        </w:rPr>
        <w:t>E. 11</w:t>
      </w:r>
    </w:p>
    <w:p>
      <w:r>
        <w:t>En conséquence, au vu de l'ensemble des éléments de la cause, le Tribunal estime qu'il ne saurait être reproché à l'ODM d'avoir considéré que le départ de B._______ à l'échéance du visa requis n'était pas suffisamment assuré et, partant, d'avoir refusé la délivrance d'une autorisation d'entrée dans l'Espace Schengen en sa faveur.</w:t>
      </w:r>
    </w:p>
    <w:p>
      <w:r>
        <w:rPr>
          <w:b/>
        </w:rPr>
        <w:t>E. 12</w:t>
      </w:r>
    </w:p>
    <w:p>
      <w:r>
        <w:t>Il ressort de ce qui précède que la décision de l'ODM du 3 février 2010 est conforme au droit.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