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C-128/2024 vom 28. Juni 2024</w:t>
      </w:r>
    </w:p>
    <w:p>
      <w:r>
        <w:t>Bundesverwaltungsgericht, 2024-06-28, FR</w:t>
      </w:r>
    </w:p>
    <w:p>
      <w:r>
        <w:rPr>
          <w:b/>
        </w:rPr>
        <w:t xml:space="preserve">Quelle: </w:t>
      </w:r>
      <w:r>
        <w:t>https://mcp.opencaselaw.ch/entscheid/bvger_C-128_2024</w:t>
      </w:r>
    </w:p>
    <w:p>
      <w:r>
        <w:t>FR: TAF C-128/2024 du 28 juin 2024</w:t>
      </w:r>
    </w:p>
    <w:p>
      <w:r>
        <w:t>IT: TAF C-128/2024 del 28 giugno 2024</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peuvent être contestées devant le Tribunal administratif fédéral conformément à l'art. 85bis al. 1 de la loi fédérale du 20 décembre 1946 sur l’assurance- vieillesse et survivants (LAVS, RS 831.10 ; cf. art. 33 let. d LTAF).</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 sociales (LPGA, RS 830.1 ; cf. art. 3 let. dbis PA). A cet égard, conformé- 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w:t>
      </w:r>
    </w:p>
    <w:p>
      <w:r>
        <w:t>C-128/2024 Page 5 et dans les formes requises par la loi (art. 60 al. 1 LPGA et 52 al. 1 PA), le recours est recevable.</w:t>
      </w:r>
    </w:p>
    <w:p>
      <w:r>
        <w:rPr>
          <w:b/>
        </w:rPr>
        <w:t>E. 2</w:t>
      </w:r>
    </w:p>
    <w:p>
      <w:r>
        <w:t>Le présent litige porte sur le bien-fondé de la décision sur opposition ren- due par la CSC en date du 7 décembre 2023 rejetant la demande de re- mise de l’obligation de restituer des prestations indues formulée par le re- courant.</w:t>
      </w:r>
    </w:p>
    <w:p>
      <w:r>
        <w:rPr>
          <w:b/>
        </w:rPr>
        <w:t>E. 3</w:t>
      </w:r>
    </w:p>
    <w:p>
      <w:r>
        <w:t>La procédure dans le domaine des assurances sociales fait prévaloir la maxime inquisitoire (art. 43 LPGA ; ATF 138 V 218 consid. 6). Ainsi, le Tri- bunal administratif fédéral établit les faits et apprécie les preuves d'office et librement (art. 12 PA ; PIERRE MOOR/ETIENNE POLTIER, Droit administra- tif, vol. II : Les actes administratifs et leur contrôle, 3e éd., p. 292 ch. 2.2.6.3). En outre, le Tribunal examine librement et d'office les ques- tions de droit qui se posent, sans être lié par les motifs invoqués dans le recours (cf. art. 62 al. 4 PA ; ATAF 2013/46 consid. 3.2), ni par l'argumen- tation juridique développée dans la décision entreprise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 sid. 4.3). En outre, le juge des assurances sociales apprécie la légalité des décisions attaquées, en règle générale, d’après l’état de fait existant jusqu’au moment où la décision litigieuse a été rendue (ATF 144 V 210 consid. 4.3.1 ; 130 V 138 consid. 2.1 ; 121 V 362 consid. 1b). Ainsi, sauf indication contraire, les dispositions de la LAVS ainsi que de la LPGA et de l’ordonnance du 11 septembre 2002 sur la partie générale du droit des as- surances sociales (OPGA, RS 830.11) en vigueur jusqu’au moment du pro- noncé de la décision sur opposition le 7 décembre 2023 s’appliquent au cas d’espèce.</w:t>
      </w:r>
    </w:p>
    <w:p>
      <w:r>
        <w:t>C-128/2024 Page 6</w:t>
      </w:r>
    </w:p>
    <w:p>
      <w:r>
        <w:rPr>
          <w:b/>
        </w:rPr>
        <w:t>E. 5.1</w:t>
      </w:r>
    </w:p>
    <w:p>
      <w:r>
        <w:t>Conformément à l’art. 25 al. 1 LPGA, les prestations indûment tou- chées doivent être restituées. Ce principe vise à permettre à l'assureur concerné de rétablir une situation conforme au droit (SYLVIE PÉTREMAND, Commentaire romand, Loi sur la partie générale des assurances sociales, 2018, nos 14, 25 et 26 ad art. 25 LPGA). La restitution ne peut pas être exigée lorsque l’intéressé était de bonne foi et qu’elle le mettrait dans une situation difficile (remise). Ces deux conditions matérielles sont cumula- tives et leur réalisation est nécessaire pour que la remise de l'obligation de restituer soit accordée (ATF 126 V 48 consid. 3c ; arrêt du TF 8C_557/2021 du 17 février 2022 consid. 4).</w:t>
      </w:r>
    </w:p>
    <w:p>
      <w:r>
        <w:rPr>
          <w:b/>
        </w:rPr>
        <w:t>E. 5.2</w:t>
      </w:r>
    </w:p>
    <w:p>
      <w:r>
        <w:t>L’étendue de l’obligation de restituer – à laquelle sont soumis le béné- ficiaire des prestations allouées indûment ou ses héritiers notamment (art. 2 al. 1 let. a OPGA) – est fixée par une décision (art. 3 al. 1 OPGA). L’as- sureur indique la possibilité d’une remise dans la décision en restitution (art. 3 al. 2 OPGA). La demande de remise doit être présentée par écrit, motivée, accompagnée des pièces nécessaires et déposée au plus tard trente jours à compter de l’entrée en force de la décision en restitution (art. 4 al. 4 OPGA). Cependant, lorsqu’il est manifeste que les conditions d’une remise sont remplies, à savoir lorsque les prestations allouées indû- ment ont été reçues de bonne foi et que la personne concernée se trouve dans une situation difficile (art. 4 al. 1 OPGA), cette question est réglée dans la décision de l’assureur au sujet de la restitution, pour des motifs d’économie de procédure (décision de renonciation à la restitution, selon l’art. 3 al. 3 OPGA ; PÉTREMAND, op. cit., no 60 ad art. 25 LPGA).</w:t>
      </w:r>
    </w:p>
    <w:p>
      <w:r>
        <w:rPr>
          <w:b/>
        </w:rPr>
        <w:t>E. 5.3</w:t>
      </w:r>
    </w:p>
    <w:p>
      <w:r>
        <w:t>Ainsi, concrètement, la procédure de restitution d’une prestation versée à tort implique en principe trois étapes distinctes (PÉTREMAND, op. cit., no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LPGA). La deuxième décision concerne la restitution en tant que telle des prestations indûment versées, au sens de l’art. 25 al. 1, 1ère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2e phrase, LPGA est rendue si une telle demande</w:t>
      </w:r>
    </w:p>
    <w:p>
      <w:r>
        <w:t>C-128/2024 Page 7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en principe, la demande de remise ne peut être traitée sur le fond que si la décision en restitution est entrée en force, la remise et son étendue font l'objet d'une procédure distincte (arrêts du TF 8C_799/2017 et 8C_814/2017 du 11 mars 2019 consid. 6).</w:t>
      </w:r>
    </w:p>
    <w:p>
      <w:r>
        <w:rPr>
          <w:b/>
        </w:rPr>
        <w:t>E. 5.4.1</w:t>
      </w:r>
    </w:p>
    <w:p>
      <w:r>
        <w:t>En ce qui concerne la remise de l’obligation de restituer les prestations indûment touchées, l'ignorance, par le bénéficiaire des prestations ou ses héritiers – pour les prestations indûment versées après le décès (cf. ATF 105 V 84 consid. 4 et arrêt du TF P 3/01 du 25 mai 2001 consid. 3a) –, du fait que le premier n'avait pas droit aux prestations ne suffit pas pour admettre la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arrêt du TAF C-2818/2021 du 19 juin 2021 [recte : 2023] consid. 4.1.1).</w:t>
      </w:r>
    </w:p>
    <w:p>
      <w:r>
        <w:rPr>
          <w:b/>
        </w:rPr>
        <w:t>E. 5.4.2</w:t>
      </w:r>
    </w:p>
    <w:p>
      <w:r>
        <w:t>On se trouve en présence d’une négligence grave lorsqu’ un ayant droit ne se conforme pas à ce qui peut raisonnablement être exigé d'une personne capable de discernement dans une situation identique et dans les mêmes circonstances (ATF 110 V 176 consid. 3d). Commet ainsi une telle négligence celui qui, lors de la demande de prestation, de l’examen des conditions du droit, ou du paiement de la prestation indûment versée, ne fait pas preuve du minimum d’attention que l’on est en droit d’exiger de lui en fonction de ses compétences et de son degré de formation (par analogie, ch. 4652.03 des Directives de l’Office fédéral des assurances sociales [OFAS] concernant les prestations complémentaires à l’AVS et à l’AI [DPC], 318.682).</w:t>
      </w:r>
    </w:p>
    <w:p>
      <w:r>
        <w:t>C-128/2024 Page 8</w:t>
      </w:r>
    </w:p>
    <w:p>
      <w:r>
        <w:rPr>
          <w:b/>
        </w:rPr>
        <w:t>E. 5.4.3</w:t>
      </w:r>
    </w:p>
    <w:p>
      <w:r>
        <w:t>De façon générale, il est raisonnablement exigible d’attendre des héritiers qu’ils se renseignent sur la nature des prestations d’assurances versées au défunt et portées au crédit d’une succession. A tout le moins, une telle obligation de se renseigner vaut pour les prestations dont le bien- fondé n’apparaît pas d’emblée évident ou dont le caractère indu est facilement décelable, à l’image de rentes AVS versées après le décès du bénéficiaire. A l’inverse, on imagine mal qu’un héritier puisse acquérir de bonne foi des prestations d’assurance qui ne lui sont pas directement destinées et dont il ignore la nature autant que l’étendue (arrêt du TAF C- 2818/2021 précité consid. 5.1).</w:t>
      </w:r>
    </w:p>
    <w:p>
      <w:r>
        <w:rPr>
          <w:b/>
        </w:rPr>
        <w:t>E. 5.5.1</w:t>
      </w:r>
    </w:p>
    <w:p>
      <w:r>
        <w:t>En l'espèce, la décision sur opposition du 12 octobre 2023 – prononçant la restitution des rentes AVS versées en faveur de la mère du recourant entre janvier 2013 et novembre 2021 – est entrée en force. Or, compte tenu de la procédure en trois étapes susmentionnée (consid. 5.3), les éléments constatés dans une décision entrée en force rendue à l'issue d'une procédure en restitution ne peuvent plus être contestés dans le cadre d'une procédure ultérieure de remise de l'obligation de restituer (cf. arrêts du TF 8C_589/2016 du 26 avril 2017 consid. 3.2, 9C_638/2014 du 13 août 2015 consid. 3.2 et P 31/87 du 10 mai 1987 consid. 3a).</w:t>
      </w:r>
    </w:p>
    <w:p>
      <w:r>
        <w:rPr>
          <w:b/>
        </w:rPr>
        <w:t>E. 5.5.2</w:t>
      </w:r>
    </w:p>
    <w:p>
      <w:r>
        <w:t>Il découle de ce qui précède que la créance en restitution d’un montant de Fr. 229'924.- correspondant aux rentes indûment versées en faveur de la mère du recourant postérieurement à son décès – survenu en date du (…) 2012 – et le débiteur de cette créance – soit le recourant, en qualité d’héritier –, sont des éléments qui, constatés dans la décision entrée en force du 12 octobre 2023 et ayant par conséquent autorité de chose décidée, ne peuvent plus être contestés dans le cadre de la présente procédure de recours, portant exclusivement sur la remise de l’obligation de restituer les prestations précitées. Ainsi, en tant qu’il soutient que l’acte de décès du (…) 2012 n’est pas valide et que sa mère était encore vivante au mois de décembre 2021 (cf. en particulier par. 8 du mémoire de réplique du 4 avril 2024), le recourant perd de vue que ces éléments ne peuvent pas être contestés dans le cadre de son recours portant contre la décision du 7 décembre 2023. Il appartiendra le cas échéant à l’intéressé de faire valoir un motif de révision de la décision sur opposition du 12 octobre 2023, s’il devait notamment obtenir de nouveaux moyens de preuve propres à remettre en doute le bien-fondé de celle-ci conformément à l’art. 53 al. 1 LPGA.</w:t>
      </w:r>
    </w:p>
    <w:p>
      <w:r>
        <w:t>C-128/2024 Page 9</w:t>
      </w:r>
    </w:p>
    <w:p>
      <w:r>
        <w:rPr>
          <w:b/>
        </w:rPr>
        <w:t>E. 5.5.3</w:t>
      </w:r>
    </w:p>
    <w:p>
      <w:r>
        <w:t>Sur le vu de ce qui précède, en remettant en question le décès de sa mère en (…) 2012 et la validité de l’acte de décès, en particulier par le biais de démarches auprès des autorités de l’état civil, pour prouver sa bonne foi – au lieu de faire valoir, notamment, son ignorance quant à la survenance du décès à la date précitée –, le recourant ne saurait être suivi, sa prétendue bonne foi ne pouvant pas reposer sur la contestation d’éléments ayant force de chose décidée.</w:t>
      </w:r>
    </w:p>
    <w:p>
      <w:r>
        <w:rPr>
          <w:b/>
        </w:rPr>
        <w:t>E. 5.6</w:t>
      </w:r>
    </w:p>
    <w:p>
      <w:r>
        <w:t>C’est ainsi à juste titre que l’autorité inférieure a nié la bonne foi du recourant et rejeté sa demande de remise, une des deux conditions cumu- latives nécessaires pour pouvoir en bénéficier faisant défaut (cf. ci-dessus, consid. 5.1). Il s'ensuit que le recours – manifestement infondé – doit être rejeté dans une procédure à juge unique conformément à l’art. 85bis al. 3 LAVS.</w:t>
      </w:r>
    </w:p>
    <w:p>
      <w:r>
        <w:rPr>
          <w:b/>
        </w:rPr>
        <w:t>E. 6.1</w:t>
      </w:r>
    </w:p>
    <w:p>
      <w:r>
        <w:t>La procédure étant gratuite pour les parties (art. 85bis al. 2 LAVS), il n’est pas perçu de frais de procédure.</w:t>
      </w:r>
    </w:p>
    <w:p>
      <w:r>
        <w:rPr>
          <w:b/>
        </w:rPr>
        <w:t>E. 6.2</w:t>
      </w:r>
    </w:p>
    <w:p>
      <w:r>
        <w:t>Il n’est alloué de dépens ni au recourant vu l’issue de la procédure (art. 64 al. 1 PA a contrario), ni à l’autorité inférieure (art. 7 al. 1 et 3 du règle- ment du 21 février 2008 concernant les frais, dépens et indemnités fixés par le Tribunal administratif fédéral [FITAF, RS 173.320.2]).</w:t>
      </w:r>
    </w:p>
    <w:p>
      <w:r>
        <w:t>C-128/2024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