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C-128/2011 vom 31. Januar 2013</w:t>
      </w:r>
    </w:p>
    <w:p>
      <w:r>
        <w:t>Bundesverwaltungsgericht, 2013-01-31, DE</w:t>
      </w:r>
    </w:p>
    <w:p>
      <w:r>
        <w:rPr>
          <w:b/>
        </w:rPr>
        <w:t xml:space="preserve">Quelle: </w:t>
      </w:r>
      <w:r>
        <w:t>https://mcp.opencaselaw.ch/entscheid/bvger_C-128_2011</w:t>
      </w:r>
    </w:p>
    <w:p>
      <w:r>
        <w:t>FR: TAF C-128/2011 du 31 janvier 2013</w:t>
      </w:r>
    </w:p>
    <w:p>
      <w:r>
        <w:t>IT: TAF C-128/2011 del 31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die Visagesuche von zwei sri-lankischen Staatsangehörigen, die für drei Monate zu einem Besuchsaufenthalt in die Schweiz einreisen möchten. Da sich diese nicht auf die EU/EFTA-Personenfreizügigkeitsabkommen berufen können und die beabsichtigte Aufenthaltsdauer drei Monate nicht überschreitet, fallen ihre Gesuche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Sri Lanka zu diesen Staaten zählt, unterliegen die Gesuchstellenden der Visumspflicht.</w:t>
      </w:r>
    </w:p>
    <w:p>
      <w:r>
        <w:rPr>
          <w:b/>
        </w:rPr>
        <w:t>E. 5.2</w:t>
      </w:r>
    </w:p>
    <w:p>
      <w:r>
        <w:t>Im vorliegenden Fall hat die Vorinstanz bezweifelt, dass die Gesuchstellenden die Schweiz bzw. den Schengen-Raum wieder anstandslos verlassen würden und dies mit der allgemeinen Lage in ihrem Heimatland und ihren persönlichen Verhältnissen begründet. Zu der somit im Vordergrund stehenden Frage der gesicherten Wiederausreise könnten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Die Wirtschaft Sri Lankas befindet sich im Aufschwung. Im Jahr 2011 belief sich das reale Wirtschaftswachstum auf 8,3 Prozent, das stärkste Wirtschaftswachstum seit 32 Jahren; für 2012 wurde aufgrund notwendiger fiskalpolitischer Massnahmen immerhin ein Wachstum von 7 Prozent veranschlagt. Die Arbeitslosigkeit nahm von 4,9 Prozent im Jahr 2010 auf 4,2 Prozent im Jahr 2011 ab, wobei diese Zahlen die Nordprovinz nicht berücksichtigen. Problematisch ist demgegenüber die Jugendarbeitslosigkeit, die sich auf ca. 19 Prozent beläuft (Quelle: Deutsches Auswärtiges Amt, http://www.auswaertiges-amt.de, Länderinformationen Sri Lanka Wirtschaft, Stand November 2012, besucht im Januar 2013). Die innenpolitische Situation des Landes wird in erster Linie durch die Werte der singhalesischen Mehrheit bestimmt. Der im Mai 2009 zu Ende gegangene Bürgerkrieg hat die Diskussion um eine politische Lösung für den ethnischen Konflikt zwischen den Singhalesen und der sich diskriminiert fühlenden tamilischen Minderheit wieder entfacht. Eine solche Lösung zeichnet sich allerdings nicht so bald ab, da eine Aufarbeitung des Konflikts und seiner Ursachen bisher nicht stattgefunden hat. Die Sicherheit von Personen tamilischer Ethnie ist vor allem im Norden und Osten des Landes immer noch gefährdet; Tamilen sind aber auch in Colombo Übergriffen von Polizei und Sicherheitskräften ausgesetzt (Quelle: Schweizerische Flüchtlingshilfe, http://www.flüchtlingshilfe.ch Herkunftsländer Asien - Pazifik Sri Lanka Sri Lanka: Aktuelle Situation, Update von Adrian Schuster, 15. November 2012). Die schwierige Lage der tamilischen Minderheit spiegelt sich im Übrigen in der schweizerischen Asylstatistik wieder. Ihr zufolge stellten Personen aus Sri Lanka noch im Jahr 2010 mit 939 Gesuchen die drittgrösste Gruppe von Asylsuchenden; im Jahr 2011 halbierte sich die Zahl der Gesuche; am Ende des vierten Quartals 2012 befanden sich noch 3560 Personen aus Sri Lanka im Asylprozess (Quelle: Bundesamt für Migration, http://www.bfm.admin. ch &gt; Dokumentation &gt; Zahlen und Fakten &gt; Asylstatistik &gt; Jahresstatistiken &gt; Kommentierte Asylstatistik 2010 S. 3 und Kommentierte Asylstatistik 2011 S. 4 sowie &gt; Monatsstatistiken &gt; Kommentierte Asylstatistik 4. Quartal 2012).</w:t>
      </w:r>
    </w:p>
    <w:p>
      <w:r>
        <w:rPr>
          <w:b/>
        </w:rPr>
        <w:t>E. 6.2</w:t>
      </w:r>
    </w:p>
    <w:p>
      <w:r>
        <w:t>Vor diesem Hintergrund ist nachvollziehbar, dass sich ein Wunsch nach Auswanderung vor allem bei jenen Angehörigen der tamilischen Minderheit manifestiert, die bereits über ein minimales Beziehungsnetz im Ausland verfügen.</w:t>
      </w:r>
    </w:p>
    <w:p>
      <w:r>
        <w:rPr>
          <w:b/>
        </w:rPr>
        <w:t>E. 7</w:t>
      </w:r>
    </w:p>
    <w:p>
      <w:r>
        <w:t>Die in Colombo lebenden Gesuchstellenden sind tamilischer Ethnie. Beide haben die Beschwerdeführerin bereits einmal, jedoch nacheinander, in den Jahren 2006 und 2007 besucht, wobei der Gesuchsteller zusammen mit seiner anderen Tochter und die Gesuchstellerin zusammen mit ihrer Mutter in die Schweiz einreisen durften. Ihre damalige Rückkehr nach Sri Lanka ist aber nicht unbedingt ein Indiz dafür, dass mit den aktuellen Gesuchen ebenfalls nur ein Familienbesuch bezweckt wird.</w:t>
      </w:r>
    </w:p>
    <w:p>
      <w:r>
        <w:rPr>
          <w:b/>
        </w:rPr>
        <w:t>E. 7.1</w:t>
      </w:r>
    </w:p>
    <w:p>
      <w:r>
        <w:t>Die Situation der tamilischen Bevölkerung hat sich seitdem - d.h. mit der Beendigung des im Jahr 2002 zwischen der Regierung und den LTTE (Liberation Tigers of Tamil Eelam) unterzeichneten Waffenstillstands und mit dem Beginn der militärischen Grossoffensive im Juli 2006, die schliesslich zum Sieg über die LTTE im Mai 2009 führte - verschlechtert, erkennbar auch daran, dass in den Jahren 2005 und 2006 nur 277 bzw. 351 Asylgesuche von Personen aus Sri Lanka in der Schweiz gestellt wurden (Quelle: Bundesamt für Migration, http://www.bfm.admin.ch &gt; Dokumentation &gt; Zahlen und Fakten &gt; Asylstatistik &gt; Jahresstatistiken &gt; Asylstatistik 2005 und Asylstatistik 2006). Im Jahr 2010, aus dem die im vorliegenden Verfahren zu beurteilenden Einreisegesuche stammen, stellten Personen aus Sri Lanka bereits die drittgrösste Gruppe von Asylsuchenden (vgl. E. 6.1). Auch die persönlichen Lebensumstände der Gesuchstellenden haben sich in der Zwischenzeit geändert. So arbeitet der Gesuchsteller und Familienvater nicht mehr, wie noch im Jahr 2005 in einer Textilhandelsfirma, sondern ist den aktuellen Unterlagen zufolge in einem Juweliergeschäft angestellt. Die Gesuchstellerin, seine 1990 geborene Tochter, ist inzwischen volljährig geworden.</w:t>
      </w:r>
    </w:p>
    <w:p>
      <w:r>
        <w:rPr>
          <w:b/>
        </w:rPr>
        <w:t>E. 7.2</w:t>
      </w:r>
    </w:p>
    <w:p>
      <w:r>
        <w:t>Die Beschwerdeführerin hat verschiedene Gründe genannt, die aus ihrer Sicht für die fristgerechte Wiederausreise ihrer Gäste sprechen. Sie hat deren derzeitige Lebenssituation allerdings nur sehr pauschal umschrieben und vor allem die familiären Bindungen in ihrem Heimatland betont. In Bezug auf C._______ hat sie dargelegt, diese besuche noch die Schule; zur Art der Ausbildung, deren Ende und zu den weiteren beruflichen Pläne ihrer Cousine hat sie sich allerdings nicht geäussert. Die vage Behauptung der Beschwerdeführerin, diese wolle mit Abschluss ihrer Schulbildung "eine gute Zukunft in Sri Lanka haben", ist insofern - und erst recht vor dem Hintergrund der hohen Jugendarbeitslosigkeit - nicht überzeugend und lässt nicht darauf schliessen, dass realistische Zukunftsaussichten zuhause die Gesuchstellerin von einer Emigration nach Europa abhalten könnten. Ihre angebliche Ausbildung, aber auch die Berufstätigkeit ihres Vaters werfen zudem die Frage auf, ob ein dreimonatiger Auslandsaufenthalt diesen Verpflichtungen nicht entgegen stünde.</w:t>
      </w:r>
    </w:p>
    <w:p>
      <w:r>
        <w:rPr>
          <w:b/>
        </w:rPr>
        <w:t>E. 7.3</w:t>
      </w:r>
    </w:p>
    <w:p>
      <w:r>
        <w:t>Fraglich ist aber auch, ob der angegebene Aufenthaltszweck zu überzeugen vermag. Als Grund für die Einladung ihrer Gäste hat die Beschwerdeführerin die Feier ihres fünften Hochzeitstages genannt (vgl. das an die Schweizerische Botschaft gerichtete Einladungsschreiben vom 3. Juni 2010), ein Grund, der nach hiesigem kulturellen Verständnis keinen Anlass für ein umfangreiches Familienfest bietet, der aber mit Sicherheit keinen 90-tägigen Besuchsaufenthalt der Gesuchstellenden erfordert. Auch scheint die Einladung von B._______ nicht naheliegend, ist dieser doch im rechtlichen Sinne nicht mit der Beschwerdeführerin verwandt, sondern Ehemann ihrer Tante (vgl. Schreiben der Beschwerdeführerin an den Migrationsdienst Bern vom 2. November 2011), deren Einladung zu einer Familienfeier verständlicher gewesen wäre. Die Vermutung, dass auch der Gesuchsteller mit seiner Einreise in die Schweiz andere Zwecke als einen Besuchsaufenthalt verfolgen könnte, ist daher nicht von der Hand zu weisen.</w:t>
      </w:r>
    </w:p>
    <w:p>
      <w:r>
        <w:rPr>
          <w:b/>
        </w:rPr>
        <w:t>E. 8</w:t>
      </w:r>
    </w:p>
    <w:p>
      <w:r>
        <w:t>Vor dem aufgezeigten Hintergrund durfte die Vorinstanz zu recht annehmen, die Wiederausreise der Gesuchstellenden sei nicht gesichert. Daran ändert auch der Umstand nichts, dass die Beschwerdeführerin wiederholt das Gegenteil behauptet hat, ist doch eine derartige Garantie weder faktisch noch rechtlich durchsetzbar. Gastgeber können zwar für gewisse finanzielle Risiken im Zusammenhang mit einem Besuchsaufenthalt garantieren, nicht jedoch für ein bestimmtes Verhalten ihrer Gäste (vgl. BVGE 2009/27 E. 9). Die Voraussetzungen für die Erteilung sogenannter "einheitlicher Visa" - gültig für den gesamten Schengen-Raum - sind somit nicht erfüllt. Es sind auch keine Gründe ersichtlich, welche die Ausstellung von Einreisevisa mit räumlich beschränkter Gültigkeit (vgl. E. 4.5) erfordern würden.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