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C-1284/2011 vom 11. November 2011</w:t>
      </w:r>
    </w:p>
    <w:p>
      <w:r>
        <w:t>Bundesverwaltungsgericht, 2011-11-11, FR</w:t>
      </w:r>
    </w:p>
    <w:p>
      <w:r>
        <w:rPr>
          <w:b/>
        </w:rPr>
        <w:t xml:space="preserve">Quelle: </w:t>
      </w:r>
      <w:r>
        <w:t>https://mcp.opencaselaw.ch/entscheid/bvger_C-1284_2011</w:t>
      </w:r>
    </w:p>
    <w:p>
      <w:r>
        <w:t>FR: TAF C-1284/2011 du 11 novembre 2011</w:t>
      </w:r>
    </w:p>
    <w:p>
      <w:r>
        <w:t>IT: TAF C-1284/2011 del 11 novembre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de prolongation d'une autorisation de séjour déposée par A._______ le 19 mars 2008,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p.4 et jurisprudence citée).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30 septembre 2011, visité en octobre 2011). Il s'ensuit que ni le TAF, ni l'ODM, ne sont liés par la décision de l'OCP du 12 août 2010 d'accorder une autorisation de séjour à A._______ et peuvent parfaitement s'écarter de l'appréciation faite par cette autorité.</w:t>
      </w:r>
    </w:p>
    <w:p>
      <w:r>
        <w:rPr>
          <w:b/>
        </w:rPr>
        <w:t>E. 4.1</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4.2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2C_65/2010 du 19 mai 2010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sur la notion de "raisons personnelles majeures", voir également l'arrêt du Tribunal fédéral 2C_784/2010 du 26 mai 2011 [destiné à la publication] consid. 3.2.1 au sujet des différences avec les conditions d'application de l'art. 30 al. 1 let. b LEtr).</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arrêt du Tribunal fédéral 2C_565/2009 du 18 février 2010 consid. 2.1.1, jurisprudence et doctrine citées).</w:t>
      </w:r>
    </w:p>
    <w:p>
      <w:r>
        <w:rPr>
          <w:b/>
        </w:rPr>
        <w:t>E. 5.2</w:t>
      </w:r>
    </w:p>
    <w:p>
      <w:r>
        <w:t>En l'espèce, les époux A._______-B._______ ont contracté mariage le 3 février 2006 et leur union conjugale a duré moins de trois ans. Il s'impose de constater en effet que, même si la date de leur séparation varie selon les divers éléments du dossier, cette séparation doit être considérée comme effective au plus tard au mois de novembre 2006, ainsi qu'il ressort du jugement du Tribunal de première instance de la République et canton de Genève du 28 février 2008. Le Tribunal fédéral a par ailleurs précisé (ATF 136 II 113 consid. 3.3.1 p. 117 et 118; cf. également l'arrêt du Tribunal fédéral 2C_784/2010 précité consid. 3.1.3) que la période de trois ans prévue par la disposition précitée se référait à la communauté conjugale des époux en Suisse ("eheliche Gemeinschaft in der Schweiz"). Aussi, l'argument du recourant, selon lequel il avait fait ménage commun avec son épouse avant leur mariage, est sans pertinence pour l'application de l'art. 50 al. 1 let. a LEtr. Il ressort de ce qui précède que, depuis leur mariage du 3 février 2006, les époux A._______-B._______ ont vécu en communauté conjugale durant une période inférieure à trois ans et que le recourant ne peut donc tirer aucun droit de l'art. 50 al. 1 let. a LEtr. En conséquence, le point de savoir si son intégration est réussie n'a pas à être discuté sous l'angle de cette disposition.</w:t>
      </w:r>
    </w:p>
    <w:p>
      <w:r>
        <w:rPr>
          <w:b/>
        </w:rPr>
        <w:t>E. 6</w:t>
      </w:r>
    </w:p>
    <w:p>
      <w:r>
        <w:t>Cela étant, il convient encore d'examiner, sur un autre plan, si la poursuite du séjour en Suisse de A._______ s'impose pour des raisons personnelles majeures, au sens de l'art. 50 al. 1 let. b LEtr. Comme rappelé supra (consid. 4.2), l'art. 50 al. 1 let. b et al. 2 LEtr a pour vocation d'éviter les cas de rigueur ou d'extrême gravité qui peuvent être provoqués notamment par la violence conjugale, le décès du conjoint ou des difficultés de réintégration dans le pays d'origine.</w:t>
      </w:r>
    </w:p>
    <w:p>
      <w:r>
        <w:rPr>
          <w:b/>
        </w:rPr>
        <w:t>E. 6.1</w:t>
      </w:r>
    </w:p>
    <w:p>
      <w:r>
        <w:t>Il convient de relever d'abord que le recourant ne se trouve pas dans une situation de violence conjugale ayant provoqué la séparation du couple, ni de décès du conjoint et que sa situation est donc à examiner exclusivement en considération d'éventuelles difficultés de réintégration dans son pays d'origine.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Uebersax/Rudin/Hugi Yar/Geiser [éd.], Handbücher für die Anwaltspraxis, Band VIII, Ausländerrecht, 2ème éd., Bâle 2009, ch. 14.54 p. 681).</w:t>
      </w:r>
    </w:p>
    <w:p>
      <w:r>
        <w:rPr>
          <w:b/>
        </w:rPr>
        <w:t>E. 6.2</w:t>
      </w:r>
    </w:p>
    <w:p>
      <w:r>
        <w:t>En l'occurrence, le recourant se prévaut de son long séjour (demeuré longtemps illégal) en Suisse, des relations entretenues avec ses deux filles, titulaires d'une autorisation d'établissement, ainsi que des difficultés auxquelles il serait exposé en Colombie, pour n'y avoir pas encore accompli son service militaire.</w:t>
      </w:r>
    </w:p>
    <w:p>
      <w:r>
        <w:rPr>
          <w:b/>
        </w:rPr>
        <w:t>E. 6.3</w:t>
      </w:r>
    </w:p>
    <w:p>
      <w:r>
        <w:t>S'agissant de la durée du séjour en Suisse de A._______, le Tribunal se doit de rappeler d'abord que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p. 23 s; ATF 130 II 281 consid. 3.3 p. 289; arrêts du Tribunal fédéral 2C_493/2010 du 16 novembre 2010 consid. 1.4 et 2C_382/2010 du 4 octobre 2010 consid. 7.1). Le fait que le recourant ait résidé illégalement en Suisse depuis 2001 (séjour qui n'est au demeurant pas clairement établi par pièces sur l'entier de cette période) et qu'il ait ensuite bénéficié, du 3 février 2006 au 2 février 2008, d'un titre de séjour par son union avec une ressortissante cubaine titulaire d'une autorisation d'établissement, mais dont il s'est séparé quelques mois seulement après le mariage, ne suffit pas, en tant que tel, à admettre l'existence d'un cas de rigueur (cf. à cet égard les arrêts du Tribunal fédéral 2C_556/2010 du 2 décembre 2010 consid. 4.2 et 2C_708/2009 du 12 avril 2010 consid. 6.3). Si le recourant a certes passé son adolescence - à savoir une période significative de son existence - sur le territoire helvétique, il n'en demeure pas moins qu'il est arrivé en Suisse à un âge relativement avancé (soit à près de quinze ans) et qu'il conserve ainsi naturellement des liens socioculturels avec son pays d'origine. Bien que la mère de A._______ réside en Suisse au bénéfice d'une autorisation de séjour CE/AELE obtenue par regroupement familial, il s'impose de constater que celui-ci est âgé de 25 ans et apparaît donc susceptible de se prendre lui-même en charge dans le pays où il a passé les quinze premières années de sa vie.</w:t>
      </w:r>
    </w:p>
    <w:p>
      <w:r>
        <w:rPr>
          <w:b/>
        </w:rPr>
        <w:t>E. 7</w:t>
      </w:r>
    </w:p>
    <w:p>
      <w:r>
        <w:t>Le recourant se prévaut implicitement de l'art. 8 CEDH, en fondant son argumentation sur les relations qu'il entretient avec ses deux filles, sur lesquelles il dispose d'un droit de visite résultant du jugement rendu le 28 février 2008 par le Tribunal de première instance de la République et canton de Genève.</w:t>
      </w:r>
    </w:p>
    <w:p>
      <w:r>
        <w:rPr>
          <w:b/>
        </w:rPr>
        <w:t>E. 7.1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w:t>
      </w:r>
    </w:p>
    <w:p>
      <w:r>
        <w:rPr>
          <w:b/>
        </w:rPr>
        <w:t>E. 7.2</w:t>
      </w:r>
    </w:p>
    <w:p>
      <w:r>
        <w:t>En principe, le Tribunal est amené à se prononcer sur les conditions auxquels un étranger doit satisfaire pour obtenir une autorisation de séjour lorsqu'il dispose d'un droit de visite sur son enfant, lequel vit avec le parent titulaire d'un droit de présence assuré en Suisse. Les principes suivants ont été dégagés: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la famille (ATF 120 Ib 1 consid. 1 et 3, 120 Ib 22 consid. 4; arrêt du Tribunal fédéral 2C_723/2010 du 14 février 2011 consid. 5.2 et références citées; Alain Wurzburger, La jurisprudence récente du Tribunal fédéral en matière de police des étrangers, Revue de droit administratif et fiscal [RDAF] I 1997 p.285). Cependant,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réprimé par le droit des étrangers ou le droit pénal (cf. arrêt du Tribunal fédéral 2C_325/2010 du 11 octobre 2010 consid. 5.2.3). Il faut en outre considérer qu'il existe un lien affectif particulièrement fort lorsque le droit de visite est organisé de manière large et qu'il est exercé de manière régulière, spontanée et sans encombre (cf. arrêt 2C_723/2010 précité consid. 5.2 et les références citées).</w:t>
      </w:r>
    </w:p>
    <w:p>
      <w:r>
        <w:rPr>
          <w:b/>
        </w:rPr>
        <w:t>E. 7.3</w:t>
      </w:r>
    </w:p>
    <w:p>
      <w:r>
        <w:t>En l'occurrence, même si le recourant allègue entretenir des relations régulières avec ses filles C._______ et D._______ dans le cadre d'un droit de visite, il n'en demeure pas moins que cette relation ne revêt pas une intensité comparable à celle vécue par un parent qui, faisant ménage commun avec son enfant, partage l'existence de celui-ci au quotidien. Il s'impose de constater par ailleurs que, invité à établir le montant total des pensions alimentaires qu'il avait versées à ce jour à ses enfants en exécution du jugement du Tribunal de première instance de Genève du 28 février 2008, le recourant n'a produit aucune pièce à ce sujet et s'est contenté de déclarations évasives, selon lesquelles il aidait financièrement son épouse quand il le pouvait. Dans une déclaration écrite du 4 avril 2011, son épouse relevait d'ailleurs que le Service cantonal d'avance et recouvrement des pensions alimentaires (SCARPA) avait pris le relais de son époux pour le versement des pensions alimentaires, mais que celui-ci espérait être en mesure de faire face à ses obligations. Bien que le recourant n'ait pas retiré de son activité lucrative des revenus suffisants lui permettant de s'acquitter en totalité des pensions alimentaires dues, le Tribunal doit constater que celui-ci s'est en partie lui-même placé dans l'incapacité de faire face à ses obligations financières vis-à-vis de ses enfants par l'intense activité délictuelle qu'il a déployée en Suisse (où il a notamment participé à 26 cambriolages sur une période de six mois) et par les conséquences professionnelles de sa délinquance, soit la perte de son emploi à la suite de son incarcération en juin 2010 (cf. ses observations à l'ODM du 29 novembre 2010). Il s'impose de souligner en outre que le recourant a continué par la suite à accorder la priorité à une activité délictuelle sur l'exercice d'une activité lucrative régulière puisqu'il a fait l'objet, le 10 mai 2011, d'une nouvelle condamnation pénale à six mois de privation de liberté. Le Tribunal relève au surplus que, lors de sa dernière interpellation du 2 août 2011 pour vol, le recourant a reconnu consommer de l'héroïne pour un montant de Fr. 70.- par jour, démontrant ainsi qu'il préférait affecter ses revenus à la consommation de stupéfiants plutôt qu'au respect de ses obligations financières vis-à-vis de ses filles. En considération de ce qui précède, le Tribunal est amené à conclure que le recourant ne peut, et de loin, pas se prévaloir d'un comportement irréprochable en Suisse et que, eu égard à la jurisprudence du Tribunal fédéral en la matière (cf. arrêts du Tribunal fédéral 2C_626/2011 du 31 août 2011 consid. 5.4.1; 2C_315/2011 du 28 juillet 2011 consid. 3.2: 2C_723/2010 précité consid. 5.3; 2C_325/2010 précité consid. 5.2.1 et 2C_710/2009 du 7 mai 2010 consid. 3.1), les relations qu'il entretient avec ses filles ne sont en conséquence pas suffisantes à reléguer au second plan l'intérêt public à son éloignement et à fonder l'octroi d'une autorisation de séjour en sa faveur. En conséquence, la décision querellée ne viole pas l'art. 8 CEDH. 8.Dans ses observations du 31 août 2011, le recourant s'est fondé sur l'arrêt du Tribunal fédéral du 25 septembre 2009 en la cause 2C_295/2009 pour affirmer qu'une autorisation de séjour ne pouvait être révoquée, sous réserve des cas prévus à l'art. 63 al. 1 let. b et 62 let. b LEtr, que si son bénéficiaire était condamné à une peine privative de liberté de plus d'une année. Il en a conclu implicitement que son autorisation de séjour devait être renouvelée, dès lors qu'il n'avait été condamné qu'à 6 mois de peine privative de liberté. Le Tribunal doit constater que cette argumentation est dépourvue de toute pertinence, dès lors que la présente procédure concerne la question de l'octroi d'une autorisation de séjour après la dissolution de la famille régie par l'art. 50 LEtr et non la question de l'extinction du droit au regroupement familial régie par l'art. 51 LEtr, regroupement familial auquel le recourant ne peut plus prétendre, puisqu'il ne vit plus en ménage commun avec son épouse. 9.Il y a encore lieu d'examiner si la poursuite du séjour en Suisse de A._______ s'impose pour l'un des autres motifs mentionnés à l'art. 31 al. 1 OASA (cf. consid. 4.2 supra). Or, en considération des faibles facultés d'intégration démontrées par le recourant, de son comportement particulièrement délictueux, de sa faible situation financière, de la durée de son séjour en Suisse, de son état de santé et des possibilités de réinsertion dans son pays d'origine, l'examen du cas à la lumière des critères de l'art. 31 al. 1 OASA ne permet pas non plus de conclure à l'existence de raisons personnelles majeures au sens de l'art. 50 al. 1 let. b LEtr. En conséquence, le Tribunal est amené à conclure que l'ODM était parfaitement fondé à considérer que A._______ ne remplissait pas les conditions de l'art. 50 LEtr et qu'il a donc refusé de donner son approbation à l'octroi, en sa faveur, d'une autorisation de séjour en application de cette disposition. 10.Il s'impose de relever enfin qu'une autorisation de séjour ne saurait être accordée au recourant sur la base de l'art. 30 al. 1 let. b LEtr, dans la mesure où les conditions d'un cas individuel d'une extrême gravité au sens de l'art. 31 al. 1 OASA ont déjà été examinées sous l'angle de l'art. 50 al. 1 let. b LEtr. 11.Le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Il convient toutefois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12.1</w:t>
      </w:r>
    </w:p>
    <w:p>
      <w:r>
        <w:t>En l'espèce, le recourant est en possession de documents suffisants lui permettant de retourner en Colombie ou est en mesure de se procurer de tels documents. Ainsi, l'exécution de son renvoi ne se heurte pas à des obstacles insurmontables d'ordre technique et s'avère dès lors possible au sens de l'art. 83 al. 2 LEtr.</w:t>
      </w:r>
    </w:p>
    <w:p>
      <w:r>
        <w:rPr>
          <w:b/>
        </w:rPr>
        <w:t>E. 12.2</w:t>
      </w:r>
    </w:p>
    <w:p>
      <w:r>
        <w:t>S'agissant de la licéité de l'exécution du renvoi, le recourant n'a ni allégué, ni à fortiori démontré qu'elle serait contraire aux engagements de la Suisse relevant du droit international. Il n'est en effet nullement établi que l'intéressé pourrait subir en Colombie une persécution de la part des autorités de son pays et qu'il risquerait d'être personnellement et concrètement victime de tortures ou de traitements inhumains ou dégradants en violation de l'art. 3 CEDH. En l'espèce, les arguments avancés par le recourant pour s'opposer à l'exécution de son renvoi de Suisse, selon lesquels il n'avait pas accompli son service militaire en Colombie pour avoir quitté ce pays à l'âge de 14 ans et devait donc s'attendre à être astreint à ses obligations militaires à son retour sont dépourvus de pertinence. Il apparaît en effet que le service militaire constitue, en Colombie comme dans de très nombreux autres pays, une obligation civique à laquelle sont soumis la plupart des hommes en âge de servir et ne saurait donc aucunement, en tant que telle, constituer un motif susceptible de remettre en cause la licéité de l'exécution du renvoi d'un étranger dont l'autorisation de séjour n'a pas été prolongée. Quant aux allégations selon lesquelles l'incorporation militaire du recourant serait de nature à mettre en danger sa vie en fonction des missions auxquelles il pourrait être affecté dans ce cadre, elle ne sont que de simples spéculations et ne se fondent sur aucun élément concret susceptible d'établir que l'intéressé risquerait, dans ce cadre, d'être personnellement et concrètement victime de tortures ou de traitements inhumains ou dégradants en violation de l'art. 3 CEDH. Il s'ensuit que l'exécution du renvoi du recourant apparaît licite au sens de l'art. 83 al. 3 LEtr.</w:t>
      </w:r>
    </w:p>
    <w:p>
      <w:r>
        <w:rPr>
          <w:b/>
        </w:rPr>
        <w:t>E. 12.3</w:t>
      </w:r>
    </w:p>
    <w:p>
      <w:r>
        <w:t>S'agissant du caractère raisonnablement exigible de l'exécution du renvoi, il apparaît que la Colombie ne connaît pas, en l'état,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L'exécution du renvoi de l'intéressé est, sous cet angle, raisonnablement exigible. C'est en conséquence à bon droit que l'ODM a prononcé le renvoi de A._______. 13.Il ressort de ce qui précède que, par sa décision du 21 janvier 2011, l'ODM n'a ni violé le droit fédéral, ni constaté des faits pertinents de manière inexacte ou incomplète; en outre, la décision attaquée n'est pas inopportune (cf. art. 49 PA). Le recours est en conséquence rejeté. Vu l'issue de la cause, les frais de procédure, d'un montant de Fr. 1'000.-, sont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