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C-1280/2012 vom 18. Juli 2013</w:t>
      </w:r>
    </w:p>
    <w:p>
      <w:r>
        <w:t>Bundesverwaltungsgericht, 2013-07-18, FR</w:t>
      </w:r>
    </w:p>
    <w:p>
      <w:r>
        <w:rPr>
          <w:b/>
        </w:rPr>
        <w:t xml:space="preserve">Quelle: </w:t>
      </w:r>
      <w:r>
        <w:t>https://mcp.opencaselaw.ch/entscheid/bvger_C-1280_2012</w:t>
      </w:r>
    </w:p>
    <w:p>
      <w:r>
        <w:t>FR: TAF C-1280/2012 du 18 juillet 2013</w:t>
      </w:r>
    </w:p>
    <w:p>
      <w:r>
        <w:t>IT: TAF C-1280/2012 del 18 luglio 2013</w:t>
      </w:r>
    </w:p>
    <w:p>
      <w:pPr>
        <w:pStyle w:val="Heading2"/>
      </w:pPr>
      <w:r>
        <w:t>Regeste</w:t>
      </w:r>
    </w:p>
    <w:p>
      <w:r>
        <w:t>Droit à la rente</w:t>
      </w:r>
    </w:p>
    <w:p>
      <w:pPr>
        <w:pStyle w:val="Heading2"/>
      </w:pPr>
      <w:r>
        <w:t>Erwägungen</w:t>
      </w:r>
    </w:p>
    <w:p>
      <w:r>
        <w:rPr>
          <w:b/>
        </w:rPr>
        <w:t>E. 10</w:t>
      </w:r>
    </w:p>
    <w:p>
      <w:r>
        <w:t>Dans ce cadre, il est utile de relever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(ATF 123 V 96 consid. 4 c, 115 V 53, 114 V 285 consid. 3, 11 V 239 consid. 2a; Ulrich Meyer Blaser, Zum Verhältnismässigkeitsgrundsatz im staatlichen Leistungsrecht, thèse, 1985, p. 131). Par exemple, l'on peut exiger que la personne assurée accepte, comme en l'espèce, une activité professionnelle adaptée à son état de santé afin de réduire sa perte de gain, même si cette activité diffère de sa profession habituelle.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 Ainsi,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Il n'est pas non plus déterminant que l'assuré poursuit réellement une activité professionnelle.</w:t>
      </w:r>
    </w:p>
    <w:p>
      <w:r>
        <w:rPr>
          <w:b/>
        </w:rPr>
        <w:t>E. 11</w:t>
      </w:r>
    </w:p>
    <w:p>
      <w:r>
        <w:t>Au vu de ce qui précède, les instructions complémentaires de l'OAIE démontrent que la première décision du 17 août 2007 (AI pce 136), réduisant la rente d'invalidité entière à un quart de rente, est correcte. Selon la jurisprudence du Tribunal fédéral, celle-ci peut alors être entérinée par la décision attaquée avec effet rétroactif (cf. consid. 5.3 ci-dessus). Ainsi, conformément à l'art. 88bis al. 2 let. a RAI (cf. consid. 6.2 ci-dessus), l'OAIE a réduit à juste titre la rente d'invalidité du recourant à partir du 1er octobre 2007. Les motifs pour la suppression de la rente n'ayant cependant été apportés que par le rapport d'expertise du 18 février 2011, la rente d'invalidité ne peut être supprimée qu'avec la décision litigieuse du 9 février 2012 à partir du 1er avril 2012 (cf. l'art. 88bis al. 2 let. a RAI; arrêt du Tribunal fédéral 9C_149/2009 du 14 juillet 2009 consid. 4.4). Partant, le Tribunal de céans confirme la décision litigieuse et rejette le recours de Ramos Rodriguez.</w:t>
      </w:r>
    </w:p>
    <w:p>
      <w:r>
        <w:rPr>
          <w:b/>
        </w:rPr>
        <w:t>E. 12</w:t>
      </w:r>
    </w:p>
    <w:p>
      <w:r>
        <w:t>Vu l'issue du litige, les frais de procédure, fixés à Fr. 400.-, sont mis à la charge du recourant (art. 63 al. 1 PA en relation avec l'art. 37 LTAF). Ils sont compensés par l'avance de frais du même montant dont le recourant s'est acquitté au cours de l'instruction (TAF pces 6 à 8). Il n'est pas alloué de dépens, l'autorité de première instance n'ayant pas droit à ceux-ci (art. 7 al. 1 et 3 du règlement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