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C-1279/2012 vom 18. September 2012</w:t>
      </w:r>
    </w:p>
    <w:p>
      <w:r>
        <w:t>Bundesverwaltungsgericht, 2012-09-18, FR</w:t>
      </w:r>
    </w:p>
    <w:p>
      <w:r>
        <w:rPr>
          <w:b/>
        </w:rPr>
        <w:t xml:space="preserve">Quelle: </w:t>
      </w:r>
      <w:r>
        <w:t>https://mcp.opencaselaw.ch/entscheid/bvger_C-1279_2012</w:t>
      </w:r>
    </w:p>
    <w:p>
      <w:r>
        <w:t>FR: TAF C-1279/2012 du 18 septembre 2012</w:t>
      </w:r>
    </w:p>
    <w:p>
      <w:r>
        <w:t>IT: TAF C-1279/2012 del 18 settembre 2012</w:t>
      </w:r>
    </w:p>
    <w:p>
      <w:pPr>
        <w:pStyle w:val="Heading2"/>
      </w:pPr>
      <w:r>
        <w:t>Regeste</w:t>
      </w:r>
    </w:p>
    <w:p>
      <w:r>
        <w:t>Interdiction d'entrée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2011/1 consid. 2 p. 4 et jurisprudence citée). 3.1 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Aux termes de l'art. 2 al. 1 de l'ordonnance du 22 octobre 2008 sur l'entrée et l'octroi de visas (OEV, RS 142.204), les conditions d'entrée pour un séjour n'excédant pas trois mois ou à des fins de transit sont régies par l'art. 5 du règlement (CE) n° 562/2006 du Parlement européen et du Conseil du 15 mars 2006 établissant un code communautaire relatif au régime de franchissement des frontières par les personnes (code frontières Schengen, JO L 105 du 13 avril 2006, p. 1 à 32). L'art. 5 par. 1 du code frontières Schengen, dont le contenu coïncide largement avec celui de l'art. 5 al. 1 LEtr précité (cf. à ce propos Philipp Egli / Tobias Meyer in : Caroni / Gächter / Thurnherr, Bundesgesetz über die Ausländerinnen und Ausländer, Berne 2010, ad art. 5 LEtr, n° 14), prescrit que pour un séjour n'excédant pas trois mois sur une période de six mois, les conditions d'entrée pour les ressortissants de pays tiers sont les suivantes : être en possession d'un document ou de documents de voyage en cours de validité permettant le franchissement de la frontière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3.2 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du 24 octobre 2007 relative à l'admission, au séjour et à l'exercice d'une activité lucrative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4</w:t>
      </w:r>
    </w:p>
    <w:p>
      <w:r>
        <w:t>L'interdiction d'entrée, qui permet d'empêcher l'entrée ou le retour en Suisse (et dans l'Espace Schengen ; cf. arrêt du Tribunal administratif fédéral C-6528/2008 du 14 mai 2009 consid. 4)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 ATAF 2008/24 consid. 4.2). 5.1 Selon l'art. 67 al. 2 LEtr, l'ODM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 5.2 Lorsqu'une décision d'interdiction d'entrée au sens de l'art. 67 LEtr est prononcée à l'endroit d'une personne non-ressortissante de l'un des Etats parties aux Accords d'association à Schengen (lesquels sont énumérés à l'annexe 1 chiffre 1 de la LEtr), cette personne - conformément aux art. 94 par. 1 et 96 de la Convention d'application de l'accord de Schengen (CAAS, JO L 239 du 22 septembre 2000 pp. 19 à 62) et à l'art. 16 al. 2 et 4 de la loi fédérale du 13 juin 2008 sur les systèmes d'information de police de la Confédération (LSIP ;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Tribunal administratif fédéral C-6801/2010 du 1er avril 2011 consid. 4 et C-1667/2010 du 21 mars 2011 consid. 3.3). 5.3.1 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5.3.2 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5.3.3 Une interdiction d'entrée peut notamment être prononcée lorsque l'étranger a violé les prescriptions du droit en matière d'étrangers (cf. message précité, FF 2002 3568). Selon la jurisprudence, le fait de séjourner et/ou de travailler en Suisse sans autorisation constitue une violation grave des prescriptions de police des étrangers (cf. arrêt du Tribunal administratif fédéral C-1450/2011 du 14 juin 2012 consid. 4.4 et référence citée). 5.4 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Andreas Zünd / Ladina Arquint Hill, Beendigung der Anwesenheit, Entfernung und Fernhaltung, in : Uebersax / Rudin / Hugi Yar / Geiser [éd.], Ausländerrecht, 2ème éd., Bâle 2009, ch. 8.80 p. 356). 6.1 En l'occurrence, l'ODM a prononcé le 23 janvier 2012 à l'endroit d'X._______ une décision d'interdiction d'entrée en Suisse d'une durée de 2 ans, dont les effets s'étendent donc jusqu'au 22 janvier 2014, estimant que le recourant avait porté atteinte à la sécurité et l'ordre publics en séjournant illégalement dans l'Espace Schengen durant plus de trente jours après l'expiration de la durée du séjour non soumis à autorisation. 6.2 En vertu du règlement (CE) no 1244/2009 du Conseil du 30 novembre 2009 modifiant le règlement (CE) no 539/2001 fixant la liste des pays tiers dont les ressortissants sont soumis à l'obligation de visa pour franchir les frontières extérieures des Etats membres et la liste de ceux dont les ressortissants sont exemptés de cette obligation (JO L 336 du 18 décembre 2009, p. 1), qui constitue un développement des dispositions de l'acquis de Schengen au sens de l'accord entre l'Union européenne, la Communauté européenne et la Confédération suisse sur l'association de la Confédération suisse à la mise en oeuvre, à l'application et au développement de l'acquis de Schengen (cf. JO L 53 du 27 février 2008, p. 52), les ressortissants serbes sont exemptés de l'obligation de visa pour entrer sur le territoire des États membres pour des séjours ne dépassant pas trois mois par période de six mois. Ces derniers peuvent donc séjourner dans l'Espace Schengen sans être soumis à l'obligation de visa pendant une durée maximale de trois mois au cours d'une période de six mois à compter de la date de leur première entrée. 6.3 Le Tribunal constate, au vu des pièces du dossier (notamment au vu des timbres humides apposés dans le passeport du recourant), qu'X._______ est entré en Suisse par l'aéroport de Genève le 11 juin 2011 et en est ressorti par le même aéroport le 29 août 2011, puis est entré en voiture dans l'Espace Schengen le 10 septembre 2011 en passant par la Slovénie (Obrezje), pour finalement quitter la Suisse le 26 novembre 2011 par l'aéroport de Genève. Il ressort de ce qui précède que l'intéressé a effectué sur la période autorisée de six mois (cf. consid. 6.2), débutant le 11 juin 2011, deux séjours dépassant la période de 90 jours durant laquelle il était dispensé d'autorisation selon le règlement (CE) no 1244/2009. Dans son recours, l'intéressé a allégué qu'il n'avait effectué en Suisse entre le 10 septembre et le 26 novembre 2011 qu'un séjour d'une durée de deux mois et seize jours. Ce seul séjour est certes au-dessous de la limite de la durée autorisée, mais il n'en demeure pas moins que le premier séjour (du 11 juin au 29 août 2011) ayant duré 80 jours, le recourant ne disposait plus, à sa seconde entrée dans l'Espace Schengen, que de dix jours de séjour autorisé jusqu'à la fin de la période de six mois durant laquelle il était dispensé d'autorisation. Dans ces circonstances, son séjour autorisé ayant pris fin le 19 septembre 2011, il s'ensuit que du 20 septembre au 26 novembre 2011 - soit pendant 68 jours - le séjour du prénommé en Suisse était irrégulier. 6.4 L'intéressé a reconnu, dans son courrier du 4 mai 2012, qu'il n'avait pas pris garde au dépassement du nombre de jours autorisés par les règlements en la matière, mais qu'en aucun cas il n'avait voulu enfreindre la loi de manière volontaire. Le Tribunal de céans constate que, même dans l'hypothèse où le recourant n'avait pas l'intention de commettre sciemment une infraction à la loi, il n'en demeure pas moins qu'il savait que la durée de son séjour dans l'Espace Schengen était limité et qu'il lui appartenait de respecter les normes en la matière. La négligence ou l'absence de volonté délictuelle ne constitue en aucun cas un motif de renonciation au prononcé d'une mesure d'éloignement (cf. à ce sujet, parmi d'autres, l'arrêt du Tribunal administratif fédéral C-6017/2010 du 19 avril 2011, consid. 6.1 et jurisprudence citée) : en effet, la seule présence de l'intéressé au-delà du séjour dûment autorisé sur le territoire suisse et, partant, dans l'Espace Schengen est suffisante pour que soit reconnu un séjour illégal. 6.5 Il est encore à noter que la décision de l'ODM, qui s'appuyait sur le rapport d'appréhension du 26 novembre 2011 et sur le formulaire ("Droit d'être entendu en cas de mesure d'éloignement") traduit dans la langue maternelle du recourant et dans lequel ce dernier n'a fait aucune déclaration, indique un séjour illégal dans l'Espace Schengen depuis le 9 septembre 2011, alors qu'en réalité l'intéressé n'a dépassé la durée du séjour autorisé que depuis le 20 septembre 2011. Cette constatation inexacte des faits ne remet toutefois pas en cause le bien fondé du prononcé de la décision querellée, comme relevé ci-dessus (cf. consid. 6.2 à 6.4). 6.6 Vu ce qui précède, le Tribunal estime que l'interdiction d'entrée prononcée à l'endroit d'X._______ est justifiée, dans la mesure où l'intéressé a bien attenté à la sécurité et à l'ordre publics en raison de son séjour illégal dans l'Espace Schengen.</w:t>
      </w:r>
    </w:p>
    <w:p>
      <w:r>
        <w:rPr>
          <w:b/>
        </w:rPr>
        <w:t>E. 7</w:t>
      </w:r>
    </w:p>
    <w:p>
      <w:r>
        <w:t>Il convient encore d'examiner si la mesure d'éloignement prise par l'ODM satisfait aux principes de proportionnalité et de l'égalité de traitement.</w:t>
      </w:r>
    </w:p>
    <w:p>
      <w:r>
        <w:rPr>
          <w:b/>
        </w:rPr>
        <w:t>E. 7.1</w:t>
      </w:r>
    </w:p>
    <w:p>
      <w:r>
        <w:t>Lorsque l'autorité administrative prononce une interdiction d'entrée, elle doit en effet respecter les principes susmentionnés et s'interdire tout arbitraire (cf. André Grisel, Traité de droit administratif, Neuchâtel 1984, vol. I, p. 339ss, 348ss, 358ss et 364ss ; Blaise Knapp, Précis de droit administratif, Bâle/Francfort-sur-le-Main 1991, p. 103ss, 113ss et 124ss; cf. consid. 5.4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p. 104, ATF 135 I 176 consid. 8.1 p. 186, ATF 133 I 110 consid. 7.1 p. 123, et la jurisprudence citée; cf. également la doctrine citée ci-dessus).</w:t>
      </w:r>
    </w:p>
    <w:p>
      <w:r>
        <w:rPr>
          <w:b/>
        </w:rPr>
        <w:t>E. 7.2</w:t>
      </w:r>
    </w:p>
    <w:p>
      <w:r>
        <w:t>En l'espèce, il appert que le motif retenu à l'appui de la mesure d'éloignement prise à l'endroit du recourant (séjour illégal) ne saurait être contesté et que l'infraction aux prescriptions de police des étrangers doit être qualifiée de grave (cf. consid. 5.3.3 ci-dessus). Or, compte tenu du nombre élevé de contraventions commises par les étrangers, les autorités sont contraintes d'intervenir avec sévérité afin d'assurer la stricte application des prescriptions édictées dans ce domaine. Le recourant a fait valoir qu'il souhaitait pouvoir rendre visite à son épouse et à ses enfants domiciliés en Allemagne. Cela étant, il n'a donné que peu d'indications permettant d'apprécier l'importance des relations qu'il entretiendrait avec ceux-ci, se contentant de déclarer qu'il était séparé de son épouse, que depuis cette séparation, il gardait régulièrement des contacts avec sa femme et ses enfants mineurs, qu'il leur envoyait de l'argent et qu'il ne les avait pas revus depuis deux ans (cf. recours et courrier du 26 mai 2012). Il n'a cependant pas allégué que les personnes concernées ne pourraient pas lui rendre visite dans son pays d'origine pendant la durée de l'interdiction d'entrée prononcée à son encontre. En outre, il est à noter qu'il sera loisible au recourant de solliciter auprès des autorités de domicile de ces personnes la délivrance d'un sauf-conduit lorsqu'il souhaitera rendre visite à sa famille. Ces remarques s'appliquent également au sujet de son frère domicilié en Suisse. Dans ces circonstances, l'intérêt personnel du recourant à revenir en Suisse, respectivement dans l'Espace Schengen, ne saurait être prépondérant par rapport à l'intérêt public existant à son éloignement. Tenant compte de l'ensemble des éléments objectifs et subjectifs de la cause, le TAF considère que l'interdiction d'entrée en Suisse prise par l'autorité inférieure le 23 janvier 2012 est nécessaire et adéquate afin de prévenir toute nouvelle atteinte à la sécurité et à l'ordre publics en Suisse et dans l'Espace Schengen. La durée de la mesure - deux ans - fondée sur un séjour illégal durant plus de trente jours après l'expiration de la durée du séjour non soumis à autorisation dans l'Espace Schengen, tient suffisamment compte de l'intérêt privé du recourant et, partant, respecte le principe de proportionnalité. Par ailleurs, considérant les décisions prises par les autorités dans des cas analogues, la mesure n'est pas contraire au principe d'égalité de traitement. Il convient par conséquent de confirmer la décision de l'autorité de première instance.</w:t>
      </w:r>
    </w:p>
    <w:p>
      <w:r>
        <w:rPr>
          <w:b/>
        </w:rPr>
        <w:t>E. 8</w:t>
      </w:r>
    </w:p>
    <w:p>
      <w:r>
        <w:t>Il ressort de ce qui précède que la décision du 23 janvier 2012 est conforme au droit. En outre, cette décision n'est pas inopportune (art. 49 PA). En conséquence, le recours est rejeté. Vu l'issue de la cause, les frais de procédure sont mis à la charge du recourant (art. 63 al. 1 PA en relation avec l'art. 1 et l'art. 3 du règlement du 21 février 2008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