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C-1279/2006 vom 4. Dezember 2007</w:t>
      </w:r>
    </w:p>
    <w:p>
      <w:r>
        <w:t>Bundesverwaltungsgericht, 2007-12-04, DE</w:t>
      </w:r>
    </w:p>
    <w:p>
      <w:r>
        <w:rPr>
          <w:b/>
        </w:rPr>
        <w:t xml:space="preserve">Quelle: </w:t>
      </w:r>
      <w:r>
        <w:t>https://mcp.opencaselaw.ch/entscheid/bvger_C-1279_2006</w:t>
      </w:r>
    </w:p>
    <w:p>
      <w:r>
        <w:t>FR: TAF C-1279/2006 du 4 décembre 2007</w:t>
      </w:r>
    </w:p>
    <w:p>
      <w:r>
        <w:t>IT: TAF C-1279/2006 del 4 dicembre 2007</w:t>
      </w:r>
    </w:p>
    <w:p>
      <w:pPr>
        <w:pStyle w:val="Heading2"/>
      </w:pPr>
      <w:r>
        <w:t>Regeste</w:t>
      </w:r>
    </w:p>
    <w:p>
      <w:r>
        <w:t>Bundesbeiträge für den Straf- und Massnahmenvollzug</w:t>
      </w:r>
    </w:p>
    <w:p>
      <w:pPr>
        <w:pStyle w:val="Heading2"/>
      </w:pPr>
      <w:r>
        <w:t>Erwägungen</w:t>
      </w:r>
    </w:p>
    <w:p>
      <w:r>
        <w:rPr>
          <w:b/>
        </w:rPr>
        <w:t>E. 1</w:t>
      </w:r>
    </w:p>
    <w:p>
      <w:r>
        <w:t>Gemäss Art. 31 des Verwaltungsgerichtsgesetzes vom 17. Juni 2005 (VGG, 173.32) beurteilt das Bundesverwaltungsgericht Beschwerden gegen Verfügungen nach Art. 5 des Bundesgesetzes vom 20. Dezember 1968 über das Verwaltungsverfahren (VwVG, SR 172.021), sofern keine Ausnahme nach Art. 32 VGG vorliegt. Als Vorinstanzen gelten die in Art. 33 und Art. 34 BGG genannten Behörden. Dazu gehören Verfügungen des Bundesamtes für Justiz (BJ) betreffend Anerkennung der Beitragsberechtigung (Art. 9a LSMV i.V.m. Art. 31 und Art. 33 Bst. d VGG). Das Verfahren vor dem Bundesverwaltungsgericht richtet sich nach dem Bundesgesetz über das Verwaltungsverfahren (vgl. Art. 37 VGG).</w:t>
      </w:r>
    </w:p>
    <w:p>
      <w:r>
        <w:rPr>
          <w:b/>
        </w:rPr>
        <w:t>E. 2</w:t>
      </w:r>
    </w:p>
    <w:p>
      <w:r>
        <w:t>Das Bundesverwaltungsgericht übernimmt, sofern es zuständig ist, die bei Inkrafttreten des Verwaltungsgerichtsgesetzes bei Eidgenössischen Rekurs- oder Schiedskommissionen oder bei Beschwerdediensten der Departemente hängigen Rechtsmittel. Für die Beurteilung gilt das neue Verfahrensrecht (vgl. Art. 53 VGG).</w:t>
      </w:r>
    </w:p>
    <w:p>
      <w:r>
        <w:rPr>
          <w:b/>
        </w:rPr>
        <w:t>E. 3</w:t>
      </w:r>
    </w:p>
    <w:p>
      <w:r>
        <w:t>Die Beschwerdeführerin ist legitimiert; auf die frist- und formgerecht eingereichte Beschwerde ist einzutreten (Art. 48 ff. VwVG).</w:t>
      </w:r>
    </w:p>
    <w:p>
      <w:r>
        <w:rPr>
          <w:b/>
        </w:rPr>
        <w:t>E. 4</w:t>
      </w:r>
    </w:p>
    <w:p>
      <w:r>
        <w:t>Der Bund gewährt unter bestimmten Voraussetzungen Betriebsbeiträge an besondere erzieherische Aufwendungen öffentlicher und privater gemeinnütziger Einrichtungen (Art. 5 LSMG). Der Bundesrat bestimmt in sinngemässer Anwendung von Art. 3 LSMG (Voraussetzungen für Beiträge an Neu-, Aus- und Umbauten) die Voraussetzungen für Ausrichtung von Betriebsbeiträgen (vgl. Art. 6 Abs. 1 LSMG). In Art. 3 LSMV werden die Voraussetzungen aufgezählt, unter denen der Bund Betriebsbeiträge an Einrichtungen für Kinder und Jugendliche und an Arbeitserziehungsanstalten (Heime) ausrichtet. Diese Voraussetzungen müssen kumulativ erfüllt sein. Bau- und Betriebsbeiträge werden nur an Heime ausgerichtet, die als beitragsberechtigt anerkennt werden (Art. 10 Abs. 1 LSMV).</w:t>
      </w:r>
    </w:p>
    <w:p>
      <w:r>
        <w:rPr>
          <w:b/>
        </w:rPr>
        <w:t>E. 5</w:t>
      </w:r>
    </w:p>
    <w:p>
      <w:r>
        <w:t>Das Gesetz (vgl. Art. 6 Abs. 2 LSMG) sieht ausdrücklich vor, dass die Gewährung von Betriebsbeiträgen (und somit die Anerkennung) von weiteren Voraussetzungen (Bedingungen) abhängig gemacht oder mit Auflagen verbunden werden kann. Bei der Auflage handelt es sich um die mit einer Verfügung verbundene zusätzliche Verpflichtung (Nebenbestimmung) zu einem Tun, Dulden oder Unterlassen. Voraussetzungen für den Erlass von Nebenbestimmungen sind die gesetzliche Grundlage und die Verhältnismässigkeit. Im Unterschied zur Bedingung hängt die Rechtswirksamkeit der Verfügung nicht davon ab, ob die Auflage erfüllt wird oder nicht. Wird der Auflage nicht nachgelebt, kann sie selbständig durchgesetzt werden. In diesem Rahmen kann die Nichterfüllung einer Auflage auch einen Grund für den Widerruf einer Verfügung darstellen (U. Häfelin / G. Müller / F. Uhlmann, Allgemeines Verwaltungsrecht, 5. Aufl., Zürich, Basel, Genf 2006, Rz. 913 ff.). Die gesetzliche Grundlage ergibt sich vorliegend nicht nur aus der vorerwähnten Bestimmung sondern sinngemäss auch aus dem mit dem Gesetz verfolgten Zweck (vgl. insbesondere Art. 3 Abs. 1 Bst. d und f LSMV, wo von "Ausnahmefällen" und von einem "vorübergehenden Absehen" einer Voraussetzung die Rede ist. Zwar handelt es sich bei Art. 6 Abs. 2 LSMG um eine Kann-Vorschrift. Das heisst aber nicht, dass es im Belieben der anwendenden Behörde liegt, ob sie eine Verfügung von Bedingungen abhängig macht oder mit Auflagen verbindet. Sie ist gehalten, ihr Ermessen pflichtgemäss auszuüben bzw. die notwendigen sachlichen Unterscheidungen zu treffen und den besonderen Umständen des konkreten Falles angemessene Rechtsfolgen zuzuordnen. Wo das Gesetz - wie hier - im Interesse der Einzelfallgerechtigkeit die Behörde anweist, die dem konkreten Sachverhalt angemessene Regelung zu treffen, darf sie sich davon nicht dispensieren. Entscheidet die Behörde entgegen dem gesetzlichen Auftrag schematisch und sieht davon ab, Ermessen walten zu lassen, liegt eine Ermessensunterschreitung und somit eine Rechtsverletzung vor (vgl. U. Häfelin / G. Müller / F. Uhlmann, a.a.O., Rz. 470 f.; Fritz Gygi, Bundesverwaltungsrechtspflege, 2 Aufl., Bern 1983, S. 314).</w:t>
      </w:r>
    </w:p>
    <w:p>
      <w:r>
        <w:rPr>
          <w:b/>
        </w:rPr>
        <w:t>E. 6</w:t>
      </w:r>
    </w:p>
    <w:p>
      <w:r>
        <w:t>Gemäss Art. 3 Abs. 1 Bst. a LSMV setzt die Gewährung von Betriebsbeiträgen seitens des Bundes voraus, dass eine kantonale oder interkantonale Planung des Straf- und Massnahmenvollzugs oder der Jugendhilfe den Bedarf für das Heim nachweist. Eine solche Planung liegt offensichtlich nicht vor, was vom K._______ auch nicht bestritten wird. Hingegen verweist das K._______ in seiner Replik vom 24. März 2004 auf andere Justizheime im Kanton St. Gallen, die trotz fehlender kantonaler Planung vom BJ anerkannt worden seien. Ob diesbezüglich ein Verstoss gegen das Gleichbehandlungsgebot vorliegt, kann jedoch offen gelassen werden. Die entsprechende Planung hätte möglicherweise als Bedingung der Anerkennung nachgefordert werden können. Auf jeden Fall hätte die Vorinstanz entsprechende Abklärungen treffen müssen.</w:t>
      </w:r>
    </w:p>
    <w:p>
      <w:r>
        <w:rPr>
          <w:b/>
        </w:rPr>
        <w:t>E. 6.1</w:t>
      </w:r>
    </w:p>
    <w:p>
      <w:r>
        <w:t>Nach Art. 3 Abs. 2 Bst. a LSMG liegt bei privaten Einrichtungen (hier die Stiftung O._______) einer ihrer Hauptzwecke im Anwendungsbereich dieses Gesetzes. Das S._______ als solches ist im Stiftungszweck aber nicht erwähnt. Auf Beschwerdeebene wird diesbezüglich geltend gemacht, der Auftrag des S._______ leite sich auch aus einem Erlass der kantonalen Gesetzesstufe ab (Grossratsbeschluss vom 8. November 2001 über den Staatsbeitrag an das Kinderschutzzentrum St. Gallen; sGS 325.919), wobei die Detaillierung des Zwecks im Reglement des K._______ erwähnt sei. Zu Recht hält das BJ diesbezüglich fest, dass aus Gründen der Dauerhaftigkeit einer Institution der Auftrag zur Führung des S._______ verbindlich im Stiftungszweck aufgeführt werden muss, was in casu nicht der Fall ist. Im besagten Grossratsbeschluss selbst wird - im Gegensatz zur Botschaft der Regierung vom 18. April 2001 - das S._______ ebenfalls nicht erwähnt. In diesem Punkt sowie bei der Erfüllung der Zweidrittelsquote (Art. 3 Abs. 1 Bst. d LSMV) in Bezug auf die geforderte Ausbildung (Art. 5 Bst. a-b LSMV), bei der Ausbildung der Heimleitung, der gesicherten Finanzierung und der inhaltlichen und organisatorischen Beanstandungen (u.a. Gefahr einer Quersubventionierung der anderen Abteilungen des K._______) hätte die Verfügung betreffend Anerkennung des S._______ mit entsprechenden Auflagen verbunden werden können, zumal das K._______ sowohl in der Beschwerde (Eventualantrag) als auch in der ergänzenden Stellungnahme vom 24. März 2004 Nachbesserungen angeboten und somit die Bereitschaft signalisiert hat, gewisse Auflagen (Aufnahme des Zwecks zur Führung des S._______ in der Stiftungsurkunde, Umorganisation der Heimleitung, Erfüllung der Zweidrittelsquote durch eine Personalmutation) für die Anerkennung des S._______ als beitragsberechtigte Erziehungseinrichtung zu erfüllen.</w:t>
      </w:r>
    </w:p>
    <w:p>
      <w:r>
        <w:rPr>
          <w:b/>
        </w:rPr>
        <w:t>E. 6.2</w:t>
      </w:r>
    </w:p>
    <w:p>
      <w:r>
        <w:t>Im Übrigen ist der Einwand des BJ, das S._______ sei eine Einrichtung, welche auf Opferhilfe ausgerichtet sei, auch nicht nachvollziehbar, zumal selbst dann, wenn die Voraussetzungen gemäss Opferhilfegesetz gegeben sind, die Anwendbarkeit der Gesetzgebung über die Leistungen des Bundes für den Straf- und Massnahmenvollzug nicht ausgeschlossen ist (vgl. Art. 9 Abs. 1 LSMV). In seiner Vernehmlassung vom 26. Februar 2004 erklärt sich das BJ denn auch bereit, diesen Sachverhalt im Rahmen eines neuen Gesuchs zu prüfen. Dasselbe sichert die Vorinstanz in Bezug auf die Frage der geforderten Eigenständigkeit des S._______ innerhalb des K._______ zu. Ausserdem kann die Gefahr einer Quersubventionierung anderer Bereiche durch eine transparente Buchführung, welche die Arbeiten für die einzelnen Abteilungen und die Finanzströme getrennt erfasst, praktisch ausgeschlossen werden. Abgesehen davon führt die interdisziplinäre Zusammenarbeit und somit die Nutzung der Synergien zwischen den einzelnen Abteilungen des K._______ - wie auf Beschwerdeebene zu Recht ausgeführt - zu einer allseitigen Kostenoptimierung und -reduktion, was sich auch auf die Höhe allfälliger Bundesbeiträge für das S._______ auswirken dürfte.</w:t>
      </w:r>
    </w:p>
    <w:p>
      <w:r>
        <w:rPr>
          <w:b/>
        </w:rPr>
        <w:t>E. 6.3</w:t>
      </w:r>
    </w:p>
    <w:p>
      <w:r>
        <w:t>Das BJ beanstandet ferner, dass die Finanzierung des Betriebes nicht gesichert sei (vgl. Art. 3 Abs. 2 Bst. c LSMG), weil weder eine Defizitgarantie des Kantons vorliege noch die Institution auf der interkantonalen Heimvereinbarungsliste figuriere. Demgegenüber macht die Beschwerdeführerin geltend, die Finanzierung des S._______ sei im Beschluss des Grossen Rates des Kantons St. Gallen über den Staatsbeitrag an das K._______ St. Gallen geregelt. Die Finanzierung sei über die Gemeinden und den Kanton St. Gallen gesichert und basiere auf Art. 36 ff. des kantonalen Sozialhilfegesetzes (sGS 381.1), wobei das Defizit des S._______ zu gleichen Teilen vom Kanton und von den Gemeinden getragen werde. Tatsächlich gilt die Regelung des kantonalen Sozialhilfegesetzes nur in Bezug auf die innerkantonalen Heiminsassen. Mit einer entsprechenden Defizitgarantie bezüglich der Ausserkantonalen (als Auflage bei der Anerkennungsverfügung aufzunehmen) kann jedoch insgesamt von einer gesicherten Finanzierung ausgegangen werden.</w:t>
      </w:r>
    </w:p>
    <w:p>
      <w:r>
        <w:rPr>
          <w:b/>
        </w:rPr>
        <w:t>E. 6.4</w:t>
      </w:r>
    </w:p>
    <w:p>
      <w:r>
        <w:t>Wie bereits dargelegt, entspräche in casu eine Anerkennungsverfügung mit Auflagen, die ohne weiteres und innert nützlicher Frist erfüllt werden können, dem Sinn und Zweck des Gesetzes. Eine derart mit Auflagen verbundene Verfügung ist auch verhältnismässig und geeignet, da es gerade im vorliegenden Verfahren mit diesen zahlreichen, komplexen Voraussetzungen, welche es für eine Anerkennung braucht, auf andere Weise praktisch nicht zu bewerkstelligen wäre, ausser man zögert die Verfügung immer wieder hinaus, bis sämtliche Voraussetzungen zu 100 Prozent erfüllt sind. Gemäss eigenen Angaben hat das BJ einer Gesuch stellenden Institution bisher denn auch unbeschränkte Zeit eingeräumt, die Anerkennungsvoraussetzungen zu erfüllen, wobei in vielen Fällen nach Einreichung eines Gesuches ein jahrelanger Prozess stattfand, der oft - nach Erfüllung aller Kriterien - zur Anerkennung der Beitragsberechtigung führte. Indem das BJ nicht einmal prüfte, ob eine Anerkennung unter Bedingungen oder Auflagen in Frage kommt, hat es eine Ermessensunterschreitung begangen.</w:t>
      </w:r>
    </w:p>
    <w:p>
      <w:r>
        <w:rPr>
          <w:b/>
        </w:rPr>
        <w:t>E. 6.5</w:t>
      </w:r>
    </w:p>
    <w:p>
      <w:r>
        <w:t>Das BJ stellt sich überdies auf den Standpunkt, aufgrund des Anerkennungsmoratoriums sei es verpflichtet gewesen, das vorliegende Gesuch per Ende 2003 abschliessend zu beurteilen.</w:t>
      </w:r>
    </w:p>
    <w:p>
      <w:r>
        <w:rPr>
          <w:b/>
        </w:rPr>
        <w:t>E. 6.5.1</w:t>
      </w:r>
    </w:p>
    <w:p>
      <w:r>
        <w:t>Der gestützt auf das EP03 per 1. Januar 2004 rückwirkend in Kraft gesetzte Art. 19a LSMG besagt, dass für die Dauer vom 1. Januar 2004 bis zum 31. Dezember 2007 keine neuen Gesuche zur Gewährung von Betriebsbeiträgen nach Art. 5 LSMG eingereicht werden können. Ausgenommen sind Gesuche für neue Heimtypen, die nach dem Jugendstrafgesetz vom 20. Juni 2003 zu erstellen sind, was für das S._______ nicht zutrifft. Gemäss Art. 16a Abs. 1 LSMV ist das neue Recht für alle im Zeitpunkt seines Inkrafttretens hängigen Gesuche um Anerkennung der Beitragsberechtigung und um noch nicht zugesicherte Baubeiträge im Sinne des Gesetzes anwendbar. Während die Botschaft zum EP03 vom 2. Juli 2003 (vgl. BBl 2003 5647 ff.) und der Titel von Art. 19a LSMG von einem Anerkennungsmoratorium sprechen, ergibt sich aus dem klaren Wortlaut dieser Bestimmung, dass das Moratorium in der besagten Zeitspanne lediglich für die Einreichung von neuen Gesuchen gilt.</w:t>
      </w:r>
    </w:p>
    <w:p>
      <w:r>
        <w:rPr>
          <w:b/>
        </w:rPr>
        <w:t>E. 6.5.2</w:t>
      </w:r>
    </w:p>
    <w:p>
      <w:r>
        <w:t>Gesetze sind in erster Linie aus sich selbst heraus, d.h. nach Wortlaut, systematischer Stellung, Sinn und Zeck und den ihnen zugrunde liegenden Wertungen, aber auch nach der Entstehungsgeschichte auszulegen.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und ihrem Zweck. Das Bundesgericht hat sich bei der Auslegung von Erlassen stets von einem Methodenpluralismus leiten lassen (BGE 133 II 263 E. 7.2 S. 273 mit Hinweisen, BVGE 2007/7 55 E. 4 S. 58 f.) und nur dann allein auf das grammatikalische Element abgestellt, wenn sich daraus zweifelsfrei eine sachlich richtige Lösung ergab (BGE 124 II 193 E. 5a S. 199 mit Hinweisen).</w:t>
      </w:r>
    </w:p>
    <w:p>
      <w:r>
        <w:rPr>
          <w:b/>
        </w:rPr>
        <w:t>E. 6.5.3</w:t>
      </w:r>
    </w:p>
    <w:p>
      <w:r>
        <w:t>Eine systematische Auslegung (Zusammenhang mit anderen Vorschriften) führt zu keinem Ergebnis, weil Art. 19a LSMG - wie viele andere Bestimmungen aus verschiedenen Rechtsgebieten - in einem Paket (Bundesgesetz über das Entlastungsprogramm 2003) zusammengefasst wurden. Aus der Entstehungsgeschichte (historische Auslegung) ergeben sich Hinweise dafür, dass ein Moratorium für Neuanerkennungen gemeint war (vgl. BBl 2003 5647 ff. sowie Referat "Justizheime in Bewegung" von Dr. Priska Schürmann, Sektion Straf- und Massnahmenvollzug des BJ, anlässlich der GV INTEGRAS vom 7. Mai 2003 in Lausanne). Wenig hilfreich sind in diesem Zusammenhang die parlamentarischen Beratungen zum EP03. Sowohl im National- als auch im Ständerat gab Art. 19a LSMG zu keinen Diskussionen Anlass. Bei der Frage nach dem Sinn und Zweck (teleologische Auslegungsmethode) wird auf die Wertungen, die einem Gesetz oder einer einzelnen Bestimmung zugrunde liegen, abgestellt. Sinn und Zweck von Art. 19a LSMG im Zusammenhang mit dem EP03 ist - unter Beizug der obgenannten Quellen - sicher, dass während vier Jahren keine Betriebsbeiträge an neue Heime entrichtet werden müssen, was wohl am besten mit einem Anerkennungsmoratorium erreicht werden kann. Allerdings ging auch das BJ, welches die Massnahme "Moratorium für Neuanerkennungen" vorgeschlagen hat, davon aus, dass damit im Jahre 2004 noch keine Einsparungen erzielt werden (vgl. BBl 2003 5647 sowie Referat "Justizheime in Bewegung", a.a.O., S. 7). Nach der grammatikalischen Auslegung geht es nicht um ein Verbot der Anerkennung von neuen Heimen sondern darum, dass für die Dauer vom 1. Januar 2004 bis zum 31. Dezember 2007 keine neuen Gesuche zur Gewährung von Betriebsbeiträgen eingereicht werden können. Gesuche, die - wie im vorliegenden Fall - vor dem 1. Januar 2004 eingereicht wurden, sind davon eindeutig nicht betroffen. Diese Auslegung führt - wenn auch mit einer gewissen zeitlichen Verzögerung - ebenfalls zu einer Einsparung für eine bestimmte Zeitdauer und kommt daher dem Sinn und Zweck (keine Ausrichtung von Betriebsbeiträgen an neue Heime während vier Jahren) sehr nahe.</w:t>
      </w:r>
    </w:p>
    <w:p>
      <w:r>
        <w:rPr>
          <w:b/>
        </w:rPr>
        <w:t>E. 6.5.4</w:t>
      </w:r>
    </w:p>
    <w:p>
      <w:r>
        <w:t>Da der Text von Art. 19a LSMG klar ist und keine verschiedenen Deutungen zulässt, ist in casu auf das grammatikalische Element abzustellen, zumal sich daraus auch eine sachlich richtige Lösung ergibt, die dem Sinn und Zweck der Bestimmung weitgehend entspricht. Für die grammatikalische Auslegung bei einer derart unmissverständlichen Formulierung spricht auch, dass von den Adressaten einer solchen Bestimmung nicht verlangt werden kann, in den Gesetzesmaterialen nach einer allfälligen anderen Deutung zu forschen. In einem solchen Fall muss man sich auf den klaren Wortlaut einer Bestimmung verlassen können.</w:t>
      </w:r>
    </w:p>
    <w:p>
      <w:r>
        <w:rPr>
          <w:b/>
        </w:rPr>
        <w:t>E. 6.6</w:t>
      </w:r>
    </w:p>
    <w:p>
      <w:r>
        <w:t>Die Vorinstanz war demnach nicht verpflichtet, das am 29. August 2003 eingereichte Gesuch per Ende 2003 abschliessend zu beurteilen, was angesichts der Weiterzugsmöglichkeit ([ehemals] Departement und in letzter Instanz das Bundesgericht) ohnehin kaum möglich war. Indem sie es trotzdem tat, hat sie den Anspruch auf ein faires Verfahren und das Gleichbehandlungsgebot verletzt sowie - wie bereits oben dargelegt - eine Ermessensunterschreitung begangen. Im vorliegenden Fall wäre zudem wohl kaum ein jahrelanger Prozess notwendig gewesen. Eine Anerkennung des S._______ erscheint aus heutiger Sicht - versehen mit allfälligen Bedingungen und Auflagen - nicht von vornherein ausgeschlossen.</w:t>
      </w:r>
    </w:p>
    <w:p>
      <w:r>
        <w:rPr>
          <w:b/>
        </w:rPr>
        <w:t>E. 7</w:t>
      </w:r>
    </w:p>
    <w:p>
      <w:r>
        <w:t>Zusammenfassend ist festzustellen, dass die Vorinstanz mit der Nichtanerkennung des S._______ als beitragsberechtigte Erziehungseinrichtung Bundesrecht verletzt hat (Art. 49 Bst. a VwVG). Die Beschwerde ist daher gutzuheissen, die angefochtene Verfügung aufzuheben und die Sache zur weiteren Behandlung des Gesuchs im Sinne der vorstehenden Erwägungen zurückzuweisen.</w:t>
      </w:r>
    </w:p>
    <w:p>
      <w:r>
        <w:rPr>
          <w:b/>
        </w:rPr>
        <w:t>E. 8</w:t>
      </w:r>
    </w:p>
    <w:p>
      <w:r>
        <w:t>In Anwendung von Art. 63 Abs. 1 in fine VwVG sind der nur teilweise obsiegenden Beschwerdeführerin keine Verfahrenskosten aufzuerlegen. Gemäss Abs. 2 derselben Bestimmung sind unterliegende Bundesbehörden von Verfahrenskosten befreit. Eine Parteientschädigung gemäss Art. 64 Abs. 1 VwVG ist der Beschwerdeführerin nicht zuzusprechen, sind ihr doch keine notwendigen und verhältnismässig hohen Kosten erwachsen.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