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C-1278/2017 vom 1. November 2019</w:t>
      </w:r>
    </w:p>
    <w:p>
      <w:r>
        <w:t>Bundesverwaltungsgericht, 2019-11-01, DE</w:t>
      </w:r>
    </w:p>
    <w:p>
      <w:r>
        <w:rPr>
          <w:b/>
        </w:rPr>
        <w:t xml:space="preserve">Quelle: </w:t>
      </w:r>
      <w:r>
        <w:t>https://mcp.opencaselaw.ch/entscheid/bvger_C-1278_2017</w:t>
      </w:r>
    </w:p>
    <w:p>
      <w:r>
        <w:t>FR: TAF C-1278/2017 du 1 novembre 2019</w:t>
      </w:r>
    </w:p>
    <w:p>
      <w:r>
        <w:t>IT: TAF C-1278/2017 del 1 novembre 2019</w:t>
      </w:r>
    </w:p>
    <w:p>
      <w:pPr>
        <w:pStyle w:val="Heading2"/>
      </w:pPr>
      <w:r>
        <w:t>Regeste</w:t>
      </w:r>
    </w:p>
    <w:p>
      <w:r>
        <w:t>Zuteilung zu den Prämientarifen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(SR 832.20) ausdrücklich geregelt und vorliegend gegeben.</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1.3</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Nachdem auch der Kostenvorschuss fristgerecht geleistet wurde, ist auf die Beschwerde einzutreten.</w:t>
      </w:r>
    </w:p>
    <w:p>
      <w:r>
        <w:rPr>
          <w:b/>
        </w:rPr>
        <w:t>E. 2.1</w:t>
      </w:r>
    </w:p>
    <w:p>
      <w:r>
        <w:t>Anfechtungs- und Streitgegenstand bildet der Einspracheentscheid der Suva vom 30. Januar 2017 betreffend die Einreihung in den Prämientarif ab 1. Januar 2017. Mit Blick auf das in der Beschwerde gestellte Rechtsbegehren um Reduzierung des Nettoprämiensatzes in der BUV um mindestens 30 % auf 2.35 % ist streitig und zu prüfen, ob die SUVA den Nettoprämiensatz BUV per 2017 zu Recht lediglich auf 3.3600 % gesenkt hat. Hinsichtlich der beschwerdeweise und der auch replicando vorgebrachten Rügen ist vorab zu prüfen, ob die Vorinstanz die angefochtene Verfügung ausreichend begründet und damit den Grundsatz des rechtlichen Gehörs beachtet hat. Auf die triplikweise sinngemäss gerügte Einreihung der Beschwerdeführerin in die Klasse 70C ist im Anschluss einzugehen.</w:t>
      </w:r>
    </w:p>
    <w:p>
      <w:r>
        <w:rPr>
          <w:b/>
        </w:rPr>
        <w:t>E. 2.1.1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2.1.2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2.1.3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2.1.4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2.1.5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Sinngemäss rügt die Beschwerdeführerin eine Verletzung der Begründungspflicht im Verwaltungsverfahren als Teilgehalt des rechtlichen Gehörs (vgl. E. 3.5 f.). Es ist vorab in formeller Hinsicht zu prüfen, ob die Vor-instanz dieses Grundrecht verletzt hat.</w:t>
      </w:r>
    </w:p>
    <w:p>
      <w:r>
        <w:rPr>
          <w:b/>
        </w:rPr>
        <w:t>E. 3.1</w:t>
      </w:r>
    </w:p>
    <w:p>
      <w:r>
        <w:t>Im Verfahren zur Einreihung des einzelnen Betriebs in den Prämientarif haben die Versicherer den Anspruch auf rechtliches Gehör zu beachten (Art. 42 ATSG; Art. 29 Abs. 2 BV; vgl. auch Art. 29 VwVG).</w:t>
      </w:r>
    </w:p>
    <w:p>
      <w:r>
        <w:rPr>
          <w:b/>
        </w:rPr>
        <w:t>E. 3.1.1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3.1.2</w:t>
      </w:r>
    </w:p>
    <w:p>
      <w:r>
        <w:t>Einen wesentlichen Bestandteil des verfassungsrechtlich garantierten Anspruchs auf rechtliches Gehör bildet die Begründungspflicht. Diese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 Die Anforderungen an die Begründung sind umso höher, je weiter der Entscheidungsspielraum der entscheidenden Behörde und je komplexer die Sach- und Rechtslage sind (Häfelin/Müller/Uhlmann, Allgemeines Verwaltungsrecht, 7. Aufl., Zürich/St. Gallen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C-532/2009 vom 20. August 2012 E. 3.5.2 mit Hinweis auf BVGE 2007/27 E. 9.3; vgl. zum Ermessen und zum Eingriff in dieses auch E. 1.6 und 1.8 hiervor).</w:t>
      </w:r>
    </w:p>
    <w:p>
      <w:r>
        <w:rPr>
          <w:b/>
        </w:rPr>
        <w:t>E. 3.1.3</w:t>
      </w:r>
    </w:p>
    <w:p>
      <w:r>
        <w:t>Der Anspruch auf rechtliches Gehör ist formeller Natur. Ungeachtet der Erfolgsaussichten der Beschwerde in der Sache selbst führt eine Gehörsverletzung zur Aufhebung der angefochtenen Verfügung (BGE 127 V 431 E. 3d/aa; 126 V 130 E. 2b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Die Heilung eines allfälligen Mangels soll aber die Ausnahme bleiben (BGE 127 V 431 E. 3d/aa; 126 V 130 E. 2b mit Hinweisen). Ausnahmsweise kann im Beschwerdeverfahren selbst eine schwerwiegende Gehörsverletzung geheilt werden, um im Interesse der Verfahrensökonomie eine überlange Verfahrensdauer zu vermeiden (BGE 132 V 387 E. 5.1).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BVGer C-376/2008 vom 27. November 2009 E. 6.2; C-3132/2008 vom 17. August 2010 E. 3; C-235/2009 vom 13. Mai 2011 E. 7; C-585/2009 vom 14. Juni 2011 E. 5; C-532/2009 vom 20. August 2012 E. 3.5.3).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3.2</w:t>
      </w:r>
    </w:p>
    <w:p>
      <w:r>
        <w:t>Im Rahmen der Einreihungsverfügung vom 25. August 2016 (Betriebsteil A: Betriebspersonal, Suva-act. 560, S. 3 - 6) stützte sich die Vorinstanz betreffend die Klassenzuteilung auf die Betriebsbeschreibung vom 6. April 2016 (Suva-act. 500 f.). Zu den Prämiensätzen und zur Einreihung in den Prämientarif ab 1. Januar 2017 verwies sie auf die "ET 03 Grafik BUV", das "Grundlagenblatt NBUV", die Erläuterungen zum Grundlagenblatt sowie auf den Auszug aus dem Prämientarif der Suva (Suva-act. 555; 560, S. 4; act. 6, Beilage 1). Nachdem sie vom Bundesverwaltungsgericht mit Zwischenverfügung vom 10. April 2019 (act. 14) aufgefordert worden war, die Berechnung des Nettoprämiensatzes BUV (Prämienmodell ET 03) mit den zu Grunde liegenden Werten nachvollziehbar aufzuzeigen und sämtliche massgeblichen daten-/wertmässigen Grundlagen und deren Quellen offenzulegen, äusserte sie sich mit Eingabe vom 13. Mai 2019 (act. 16) umfassend zu ihren durchgeführten Berechnungen. Ausserdem reichte sie die Risikostatistiken "RIS 417 BUV Unterklassenteil 70C AO, Stand 2015", "RIS 417 BUV Klasse 70C, Stand 2015" sowie die Statistik "Ausgleichsreserve und Nettoprämie Klasse 70C, Stand 2015" (act. 16, Beilagen 1 - 3) zu den Akten und machte Ausführungen zu den Einschätzungen des Underwriters. Der Beschwerdeführerin wurden in der Folge mit Instruktionsverfügung vom 23. Mai 2019 (act. 18) sämtliche Unterlagen zugestellt; zudem erhielt sie die Möglichkeit, innert Frist zur Eingabe der Vorinstanz Stellung zu nehmen. Die Instruktionsverfügung vom 23. Mai 2019 wurde jedoch von der Post retourniert; dies, obwohl der Stellvertreter der Beschwerdeführerin dem Bundesverwaltungsgericht am 22. Mai 2019 die Gültigkeit der Adresse bestätigt hatte. Am 19. September 2019 (act. 20) wurden der Beschwerdeführerin die Unterlagen erneut zugestellt; diesmal an ihre per 17. Mai 2019 im Handelsregister geänderte Domiziladresse. Die Postsendung wurde jedoch nicht abgeholt. Mit Eingabe vom 13. Mai 2019 (act. 16) hat die Vorinstanz ihre Berechnungen ausführlich dargelegt und damit hinreichend begründet. Eine allfällige Verletzung des rechtlichen Gehörs der Beschwerdeführerin kann somit als geheilt gelten; zumal eine Rückweisung zu einem formalistischen Leerlauf und damit zu unnötigen Verzögerungen führen würde, die mit dem Interesse der Beschwerdeführerin an einer beförderlichen Beurteilung der Sache nicht zu vereinbaren wären.</w:t>
      </w:r>
    </w:p>
    <w:p>
      <w:r>
        <w:rPr>
          <w:b/>
        </w:rPr>
        <w:t>E. 4</w:t>
      </w:r>
    </w:p>
    <w:p>
      <w:r>
        <w:t>Nun ist auf die bei der Prämientarifgestaltung und der Einreihung der Betriebe in diesen Tarif zu beachtenden wichtigsten gesetzlichen Bestimmungen und massgebenden Grundsätze einzugehen.</w:t>
      </w:r>
    </w:p>
    <w:p>
      <w:r>
        <w:rPr>
          <w:b/>
        </w:rPr>
        <w:t>E. 4.1</w:t>
      </w:r>
    </w:p>
    <w:p>
      <w:r>
        <w:t>Für die Durchführung der Unfallversicherung sind einheitliche Rechnungsgrundlagen zu verwenden. Der Bundesrat erlässt Richtlinien (Art. 89 Abs. 1 UVG).</w:t>
      </w:r>
    </w:p>
    <w:p>
      <w:r>
        <w:rPr>
          <w:b/>
        </w:rPr>
        <w:t>E. 4.1.1</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4.1.2</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4.1.3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4.1.4</w:t>
      </w:r>
    </w:p>
    <w:p>
      <w:r>
        <w:t>Als Risikoeinheit gelten Betriebe, Betriebsteile und Prämienkonzerne (Art. 7 Abs. 1 des ab 1. Januar 2017 gültigen, vorliegend anwendbaren Prämientarifs der Suva, [Reglement des Verwaltungsrats der Suva vom 14. November 2008 betreffend die Einreihungsregeln zur Prämienbemessung in der obligatorischen Unfallversicherung {im Folgenden: Prämien-tarif}]). Die Prämienbemessung erfolgt für jede Risikoeinheit separat (Art. 7 Abs. 2 Prämientarif). Die Risikogemeinschaften der BUV bestehen bei der SUVA aus Klassen, Unterklassen und Unterklassenteilen (Art. 13 Abs. 1 Prämientarif).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Prämientarif).</w:t>
      </w:r>
    </w:p>
    <w:p>
      <w:r>
        <w:rPr>
          <w:b/>
        </w:rPr>
        <w:t>E. 4.1.5</w:t>
      </w:r>
    </w:p>
    <w:p>
      <w:r>
        <w:t>Die Suva stellt für die verschiedenen Kundensegmente geeignete Prämienmodelle zur Verfügung. Für Betriebe, welche eine ausreichende statistische Grösse aufweisen, wendet sie Prämienmodelle mit Erfahrungstarifierung an (Art. 19 Prämientarif). Massgebend für die Bestimmung des anwendbaren Prämienmodells ist die Basisprämie einer Risikoeinheit. Diese berechnet sich aus der Lohnsumme der Risikoeinheit innerhalb der letzten sechs Jahre und dem Basissatz im Bemessungsjahr (Art. 20 Prämientarif). Gemäss Art. 22 Abs. 1 Prämientarif berechnet sich der Nettoprämiensatz bei einer durchschnittlichen Basisprämie zwischen Fr. 5'000.- und Fr. 300'000.- pro Jahr nach dem Bonus-Malus-System 03 (im Folgenden: BMS 03). Sinkt die Basisprämie einer nach dem BMS 03 eingereihten Risikoeinheit unter 80 % der unteren Grenze, wird sie zum Basissatz eingereiht. Ab einer durchschnittlichen Basisprämie von Fr. 300'000.- pro Jahr je Versicherungszweig (BUV/NBUV) gelangt sowohl in der Berufsunfallversicherung als auch in der Nichtberufsunfallversicherung die ET 03 zur Anwendung (Art. 23 Abs. 1 Prämientarif).</w:t>
      </w:r>
    </w:p>
    <w:p>
      <w:r>
        <w:rPr>
          <w:b/>
        </w:rPr>
        <w:t>E. 4.1.6</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4.1.7</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4.1.8</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Eidgenössische Versicherungsgericht (heute Bundesgericht) hat im Übrigen festgestellt, dass im Bereich der Prämientarifgestaltung das Gleichbehandlungsgebot und das Prinzip der Risikogerechtigkeit deckungsgleich sind (vgl. RKUV 1998 Nr. U 294 S. 230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4.2</w:t>
      </w:r>
    </w:p>
    <w:p>
      <w:r>
        <w:t>Betreffend das vorliegend von der Suva zur Anwendung gebrachte Prämienmodell ET 03 (Merkblatt "Erfahrungstarifierung für Grossbetriebe der Berufs- und Nichtberufsunfallversicherung" der Suva [Ausgabe Juni 2014]; act. 8, Beilage 1) ist vorab Folgendes festzuhalten:</w:t>
      </w:r>
    </w:p>
    <w:p>
      <w:r>
        <w:rPr>
          <w:b/>
        </w:rPr>
        <w:t>E. 4.2.1</w:t>
      </w:r>
    </w:p>
    <w:p>
      <w:r>
        <w:t>Bei der Prämienkalkulation von Grossbetrieben können die eigenen Versicherungsergebnisse in grösserem Umfang berücksichtigt werden als bei kleinen Unternehmen. Gleichzeitig besteht oft der Wunsch, der individuellen Situation im Betrieb besser Rechnung tragen zu können, als dies mit einem herkömmlichen Bonus-Malus-System (BMS) möglich ist. Mit dem Prämienmodell ET 03 kommt die Suva diesem Bedürfnis entgegen. Das Prämienmodell ET 03 findet bei Betrieben Anwendung, welche in der BUV oder in der NBUV eine durchschnittliche Basisprämie von mindestens Fr. 300'000.- pro Jahr erreichen. Die Basisprämie berechnet sich aus der Lohnsumme der letzten sechs Jahre und dem Basisprämiensatz der Branche. Das Prämienmodell ET 03 ermöglicht eine individuelle und umfassende Prämienkalkulation. Zentrale Punkte dabei sind die Betrachtung der Versicherungsergebnisse der letzten 15 Unfalljahre sowie die Extrapolation des Risikosatzes in die nahe Zukunft. Berücksichtigt werden die eigenen Versicherungsergebnisse und teilweise auch jene der Branche. Eine Amortisationskomponente widerspiegelt das Prinzip der nicht gewinnorientierten Versicherung. Dabei wird ein möglicher Überschuss oder Fehlbetrag, der aus der Differenz von Prämien und Aufwand in der Vergangenheit resultiert, angemessen im aktuellen Prämiensatz berücksichtigt.</w:t>
      </w:r>
    </w:p>
    <w:p>
      <w:r>
        <w:rPr>
          <w:b/>
        </w:rPr>
        <w:t>E. 4.2.2</w:t>
      </w:r>
    </w:p>
    <w:p>
      <w:r>
        <w:t>Mit Blick auf die Äusserungen der Beschwerdeführerin im Zusammenhang mit dem Prämienmodell ET 03 ist festzuhalten, dass sie weder die Anwendbarkeit dieses Prämienmodells noch dessen gesetzliche Grundlage als solche bemängelt, sondern die fehlende Transparenz und Rechtmässigkeit der konkreten Umsetzung resp. der Berechnung des Nettoprämiensatzes durch die Vorinstanz. Sie macht insbesondere geltend, dass sie die Faktoren, auf deren Grundlage die Prämien festgelegt worden seien, nicht nachvollziehen könne. Die Suva habe angegeben, dass sie 2017 unterhalb des Branchendurchschnitts liege und der eigene Schadenverlauf berücksichtigt worden sei. Diesem sei jedoch gemäss den eigenen Berechnungen nicht genügend Rechnung getragen worden. Ausserdem seien die Daten des Branchendurchschnitts für die Jahre 2001 bis 2015 nicht im Detail bekannt, sodass die Ausführungen der Vorinstanz nicht überprüft werden könnten. In jedem Fall hätte sie bei ihrer tiefen Schadenbelastung in den letzten 15 Jahren stets unter dem Durchschnitt liegen müssen. Dies gehe aus den ihr zur Verfügung gestellten Tarifierungsgrafiken der Jahre 2010 - 2015 hervor. Zudem bemängelte die Beschwerdeführerin, dass die Daten der Ausgleichsreserve der letzten 15 Jahre unbekannt seien und deren Aufbau so nicht nachvollzogen werden könne; ausserdem würden die Schätzungen des Underwriters nicht dargelegt.</w:t>
      </w:r>
    </w:p>
    <w:p>
      <w:r>
        <w:rPr>
          <w:b/>
        </w:rPr>
        <w:t>E. 5</w:t>
      </w:r>
    </w:p>
    <w:p>
      <w:r>
        <w:t>Materiell streitig und mit Blick auf das in der Beschwerde gestellte Rechtsbegehren um Reduzierung des Nettoprämiensatzes in der BUV um mindestens 30 % auf 2.35 % ist vom Bundesverwaltungsgericht zu klären, ob die Suva in Anwendung des Prämienmodells ET 03 die Prämienbemessung richtig vorgenommen und den Nettoprämiensatz BUV per 2017 zu Recht lediglich auf 3.3600 % gesenkt hat.</w:t>
      </w:r>
    </w:p>
    <w:p>
      <w:r>
        <w:rPr>
          <w:b/>
        </w:rPr>
        <w:t>E. 5.1</w:t>
      </w:r>
    </w:p>
    <w:p>
      <w:r>
        <w:t>Das Prämienmodell ET 03 ist in Art. 39 Prämientarif geregelt. Im ET 03 werden für die Prämienbemessung die individuellen Risikoerfahrungen der Betriebe im Umfang ihrer Risikokredibilität und ihrer Amortisationskredibilität mitberücksichtigt (Art. 39 Abs. 1 Prämientarif). Die Risikokredibilität berechnet sich aus der Nettoprämie der vergangenen fünf Jahre dividiert durch die Nettoprämie der vergangenen fünf Jahre plus Fr. 1'500'000.- (Art. 39 Abs. 2 Prämientarif). Massgebend für die Bestimmung der mit einem Betrieb gemachten Risikoerfahrungen sind der während einer Beobachtungsperiode von 15 Jahren entstandene Aufwand für sämtliche Leistungen inkl. der Rückstellungen für die erwarteten zukünftigen Kosten (Art. 39 Abs. 3 Prämientarif). Die im Zusammenhang mit Regressfällen eingehenden Zahlungen werden dem Betrieb gutgeschrieben (Art. 39 Abs. 4 Prämientarif). Das Mass für den Aufwand ist der Risikosatz, welcher in Prozenten der Lohnsumme angegeben wird. Zur Beurteilung des Risikoverlaufs wird das gleitende Mittel des Risikosatzes verwendet. Dieses wird aus dem Mittelwert des betrachteten Jahres und der zwei vorangehenden sowie der zwei nachfolgenden Jahre gebildet. Der betriebseigene Risikosatz wird anhand des bisherigen Risikoverlaufs in die Zukunft extrapoliert (Art. 39 Abs. 5 Prämientarif). Aus dem betriebseigenen Risikosatz und der Risikokredibilität wird unter Einbezug des massgebenden Risikosatzes der Risikogemeinschaft und der der Risikokredibilität komplementären Grösse der gewichtete Risikosatz festgelegt (Art. 39 Abs. 6 Prämientarif). Der erwartete Risikosatz ergibt sich aus dem gewichteten Mittel, welches in Zukunft zu erwarten ist. Er wird berechnet, indem die Ermittlung der Risikokredibilität von der Nettoprämie ausgeht, welche bezahlt worden wäre, wenn der Nettoprämiensatz dem Bedarfssatz entsprochen hätte (Art. 39 Abs. 7 Prämientarif). Anhand der Ausgleichsreserve der Risikogemeinschaft sowie der Differenz zwischen den Versicherungsleistungen und den Prämien der Risikoeinheit im Verhältnis zur Risikogemeinschaft, Letzteres über die letzten 15 Jahre gerechnet, wird in der BUV der massgebende Amortisationsbedarfssatz ermittelt. Das Ausmass, in welchem die Ergebnisse der Risikoeinheit berücksichtigt werden, wird durch die Amortisationskredibilität bestimmt (Art. 39 Abs. 8 Prämientarif). Die Amortisationskredibilität hängt von der Risikokredibilität und der Basisprämie ab, welche sich aus der Lohnsumme der Risikoeinheit innerhalb der letzten sechs Jahre und dem Basissatz im Bemessungsjahr berechnet. Bei Risikoeinheiten mit einer Basisprämie kleiner oder gleich Fr. 1'800'000.- beträgt die Amortisationskredibilität 0. Für Risikoeinheiten mit einer Basisprämie grösser Fr. 1'800'000.- berechnet sich die Amortisationskredibilität aus dem Quadrat aus der Risikokredibilität minus 0.5, multipliziert mit dem Faktor 4 (Art. 20, 39 Abs. 9 Prämientarif). Aus der für die Risikogemeinschaft vorgesehenen Ausgleichsreserve wird für die Risikoeinheit die Zielhöhe der betriebseigenen Ausgleichsreserve ermittelt. Die Differenz aus der Zielhöhe der betriebseigenen Ausgleichsreserve und deren Stand entspricht dem Saldo des massgebenden Amortisationsbedarfs. Dieser wird in Prozenten der Lohnsumme angegeben (Art. 39 Abs. 10 Prämientarif). Die Zielhöhe der Ausgleichsreserve beträgt in der BUV für sämtliche Klassen 35 % einer Jahresnettoprämie (Art. 16 Abs. 2 Prämientarif). Der Nettobedarfssatz setzt sich aus dem erwarteten Risikosatz, einem Beitrag an die Äufnung der allgemeinen Reserve sowie einem Anteil des massgebenden Amortisationsbedarfssatzes - dem Risikokompensationssatz - zusammen. Der Risikokompensationssatz gibt an, wie viel der Betrieb im nächsten Versicherungsjahr zum Erreichen der vorgesehenen Ausgleichsreserve beitragen muss (Art. 39 Abs. 11 Prämientarif). Der Nettoprämiensatz der Risikoeinheit orientiert sich an deren Nettobedarfssatz und wird so festgelegt, dass er unter Berücksichtigung sämtlicher risikorelevanter Faktoren dem voraussichtlichen zukünftigen Risiko entspricht und kurzfristige Prämienschwankungen vermieden werden können. Er entspricht einem Nettosatz des Suva-Grundtarifs (Art. 39 Abs. 12 Prämientarif).</w:t>
      </w:r>
    </w:p>
    <w:p>
      <w:r>
        <w:rPr>
          <w:b/>
        </w:rPr>
        <w:t>E. 5.2</w:t>
      </w:r>
    </w:p>
    <w:p>
      <w:r>
        <w:t>Die Beschwerdeführerin macht geltend, bei der Berechnung der Nettoprämiensätze sei dem langjährigen Schadenverlauf nicht genügend Rechnung getragen worden. Aus dem 15-jährigen Rendement sei ersichtlich, dass die Nettoprämie abzüglich sämtlicher Schadenfälle und künftiger Rückstellungen einen Überschuss von mehr als 52 % ausweise. Die Vorinstanz hält demgegenüber vernehmlassungsweise fest, dass der Aufwand im Verhältnis zur Lohnsumme entscheidend sei und nicht die Nettoprämie minus Aufwand; die Nettoprämiensätze seien rechtmässig ermittelt worden. Dies ist nachfolgend zu prüfen.</w:t>
      </w:r>
    </w:p>
    <w:p>
      <w:r>
        <w:rPr>
          <w:b/>
        </w:rPr>
        <w:t>E. 5.2.1</w:t>
      </w:r>
    </w:p>
    <w:p>
      <w:r>
        <w:t>Vorliegend ist zuerst die Risikokredibilität zu ermitteln (Art. 39 Abs. 2 Prämientarif). Gemäss dem ET-Datenblatt BUV 2017 vom 28. Juli 2016 (Suva-act. 555, S. 2) betrug die Nettoprämie von 2011 bis 2015 Fr. 2'280'916.-. Geteilt durch Fr. 3'780'916.- (Nettoprämien im Betrag von Fr. 2'280'916.- + Fr. 1'500'000.-) ergibt sich ein Wert von 0.603 und damit eine Risikokredibilität von gerundet 60 %.</w:t>
      </w:r>
    </w:p>
    <w:p>
      <w:r>
        <w:rPr>
          <w:b/>
        </w:rPr>
        <w:t>E. 5.2.2</w:t>
      </w:r>
    </w:p>
    <w:p>
      <w:r>
        <w:t>Für die Bestimmung der mit einem Betrieb gemachten Risikoerfahrungen ist nun der in den Jahren 2001 bis 2015 entstandene Aufwand gemäss Art. 39 Abs. 3 Prämientarif zu ermitteln. Dieser betrug gemäss ET-Datenblatt BUV 2017 Fr. 3'577'998.-. Der Aufwand ergibt - geteilt durch die Lohnsumme des gleichen Zeitraums (Fr. 122'913'400.-, vgl. Suva-act. 555, S. 2) - einen durchschnittlichen Risikosatz von 2.91 %. Der Aufwand der Risikogemeinschaft in der Klasse 70C Unterklassenteil A0 lässt sich aus der am 13. Mai 2019 von der Vorinstanz ins Recht gelegten Risikostatistik "RIS 417 BUV, Unterklassenteil 70C AO, Stand 2015" (act. 16, Beilage 1) eruieren. Danach belief er sich in den Jahren 2001 bis 2015 auf Fr. 1'452'924'661.-; die Lohnsumme machte einen Betrag von Fr. 38'113'460'705.- aus. Daraus berechnet sich ein Aufwand der Risikogemeinschaft von 3.8121 % (Aufwand geteilt durch Lohnsumme).</w:t>
      </w:r>
    </w:p>
    <w:p>
      <w:r>
        <w:rPr>
          <w:b/>
        </w:rPr>
        <w:t>E. 5.2.3</w:t>
      </w:r>
    </w:p>
    <w:p>
      <w:r>
        <w:t>Aus der ET-Grafik BUV 2017 (RSe; Suva-act. 555, S. 1) lässt sich sodann der betriebseigene Risikosatz für das Jahr 2017 ablesen. Dieser wurde auf 3.3 % prognostiziert (Art. 39 Abs. 5 Prämientarif). Ebenso geht aus der ET-Grafik BUV 2017 der massgebende Risikosatz der Branche von 3.7 % hervor (RSk). Der gewichtete Risikosatz (vgl. Art. 39 Abs. 6 Prämientarif) beträgt somit 3.4588 % (3.300% multipliziert mit 60.3 % [Wert der Risikokredibilität; vgl. E. 5.2.1]) + [3.7 % multipliziert mit (100 - 60.3 %)].</w:t>
      </w:r>
    </w:p>
    <w:p>
      <w:r>
        <w:rPr>
          <w:b/>
        </w:rPr>
        <w:t>E. 5.2.4</w:t>
      </w:r>
    </w:p>
    <w:p>
      <w:r>
        <w:t>Als nächstes ist der massgebende Amortisationsbedarfssatz sowie die Amortisationskredibilität zu ermitteln (Art. 39 Abs. 8 f. Prämientarif).</w:t>
      </w:r>
    </w:p>
    <w:p>
      <w:r>
        <w:rPr>
          <w:b/>
        </w:rPr>
        <w:t>E. 5.2.4.1</w:t>
      </w:r>
    </w:p>
    <w:p>
      <w:r>
        <w:t>Gemäss ET-Datenblatt BUV 2017 (Suva-act. 555, S. 2) betrug die Nettoprämie der Beschwerdeführerin von 2001 bis 2015 Fr. 7'503'626.-. Abzüglich des im selben Zeitraum entstandenen Aufwands von Fr. 3'577'998.- resultiert eine Prämiendifferenz von Fr. 3'925'628.-. Die Differenz zwischen den Versicherungsleistungen und den Prämien der Risikogemeinschaft in der Klasse 70C (Prämiendifferenz der Risikogemeinschaft 15 Jahre) ergibt sich aus der Risikostatistik "RIS 417 BUV Klasse 70C, Stand 2015; act. 16, Beilage 2) und berechnet sich wie folgt: Fr. 1'649'721'887.- (Nettoprämie der Risikogemeinschaft) minus Fr. 1'494'992'965.- (Aufwand der Risikogemeinschaft) = Fr. 154'728'922.-. Die Vorinstanz teilte in der Folge die Prämiendifferenz der Risikogemeinschaft (Fr. 154'728'922.-) durch die Nettoprämie der Risikogemeinschaft in der Höhe von Fr. 1'649'721'887.- und multiplizierte diesen Betrag mit der Nettoprämie der Beschwerdeführerin (Fr. 7'503'626.-). Sie ermittelte eine Prämiendifferenz des Vergleichsbetriebs von Fr. 703'772.-. Sodann berechnete sie die massgebende Prämiendifferenz der Risikoeinheit, indem sie die Differenz zwischen der Prämiendifferenz der Beschwerdeführerin von Fr. 3'925'628.- von der Prämiendifferenz des Vergleichsbetriebs (Fr. 703'772.-) abzog und ein Ergebnis von Fr. 3'221'856.- eruierte.</w:t>
      </w:r>
    </w:p>
    <w:p>
      <w:r>
        <w:rPr>
          <w:b/>
        </w:rPr>
        <w:t>E. 5.2.4.2</w:t>
      </w:r>
    </w:p>
    <w:p>
      <w:r>
        <w:t>Die Amortisationskredibilität hängt von der Risikokredibilität und der Basisprämie ab (Art. 39 Abs. 9. Prämientarif). Gemäss Prämientarif 2017 (Darstellung der meistgebrauchten Tarife für die obligatorische Berufs- und Nichtberufsunfallversicherung [im Folgenden: Prämientarif-Grundtarif]) ist die Risikogemeinschaft 70C A0 in der BUV in die Basisprämienstufe 112 eingeteilt. In der Stufe 112 beträgt der Nettoprämiensatz 4.5000 % (Prämientarif-Grundtarif S. 22 und S. 5). Da die Lohnsumme der Beschwerdeführerin gemäss ET-Datenblatt BUV 2017 (Suva-act. 555, S. 2) in den Jahren 2010 - 2015 kumuliert rund Fr. 60'599'354.- betrug, belief sich die Basisprämie demnach auf Fr. 2'726'971.- (Fr. 60'599'354.- * 4.5000 % / 100) und war damit grösser als F. 1'800'000.-. Die Amortisationskredibilität berechnet sich somit aus dem Quadrat aus der Risikokredibilität (hier 60 %, vgl. E. 5.2.1) minus 0.5, multipliziert mit dem Faktor 4 (Art. 39 Abs. 9 Prämientarif) und ergibt 4 %.</w:t>
      </w:r>
    </w:p>
    <w:p>
      <w:r>
        <w:rPr>
          <w:b/>
        </w:rPr>
        <w:t>E. 5.2.4.3</w:t>
      </w:r>
    </w:p>
    <w:p>
      <w:r>
        <w:t>Die massgebende Prämiendifferenz der Risikoeinheit im Betrag von Fr. 3'221'856.- (E. 5.2.4.3) wird nun mit der Amortisationskredibilität von 4 % multipliziert; dies ergibt einen Betrag von Fr. 128'874.24 und entspricht dem von der Vorinstanz ermittelten Wert von gerundet 0.128 Mio. Franken. Zu diesem Wert addierte die Vorinstanz den komplementären Aufwandüberschuss (Anteil der Beschwerdeführerin an der Summe der individuellen Amortisation aller ET-Betriebe der Klasse 70C), den sie wie folgt berechnete: (100% - 4%) * (Fr. 2'280'916.- [Nettoprämie Risikoeinheit 5 Jahre]: Fr. 689'597'652 [Nettoprämie Risikogemeinschaft 5 Jahre] = 0.3308 %) * 16.6 Mio. Franken / 100 = 0.053 Mio. Franken. Im Anschluss zog sie den Stand der Ausgleichsreserve hinzu, welcher gemäss der Statistik "Ausgleichsreserve und Nettoprämie Klasse 70C, Stand 2015" (act. 16, Beilage 3) 2.8 Mio. Franken beträgt. Sodann berechnete die Vorinstanz den Anteil der Beschwerdeführerin. Dieser ergab 0.010 Mio. Franken (Fr. 2'280'916.- [Nettoprämie Risikoeinheit 5 Jahre] geteilt durch Fr. 689'597'652.- [Nettoprämie Risikogemeinschaft 5 Jahre] = 0.3308 %) * 2.8 Mio. Franken geteilt durch 100. Aus der Summe der drei ermittelten Werte (-0,128 + 0,053 + 0,010) errechnete die Vorinstanz schliesslich eine Prämiendifferenz von -0.065 Mio. Franken. Diese Berechnungen sind nachvollziehbar und deshalb nicht in Zweifel zu ziehen. Der Amortisationsbedarfssatz der Beschwerdeführerin ergibt sich aus diesem Wert in Relation zur Lohnsumme 2015 (vgl. ET-Datenblatt BUV 2017; Suva-act. 555, S. 2) und beträgt 1.03 % ([65'000 / Fr. 6'323'100.-] * 100).</w:t>
      </w:r>
    </w:p>
    <w:p>
      <w:r>
        <w:rPr>
          <w:b/>
        </w:rPr>
        <w:t>E. 5.2.5</w:t>
      </w:r>
    </w:p>
    <w:p>
      <w:r>
        <w:t>Nun ist der Beitrag zu prüfen, den die Beschwerdeführerin zum Erreichen der Zielhöhe der Ausgleichsreserve zu leisten hat (vgl. Art. 39 Abs. 10 Prämientarif). Der Stand der Ausgleichsreserve der Beschwerdeführerin berechnet sich aus ihrer Prämiendifferenz (65'000, vgl. E. 5.2.4.3) geteilt durch die Nettoprämie im Jahr 2015, welche gemäss ET-Datenblatt BUV 2017 (Suva-act. 555, S. 2) Fr. 245'969.- betrug. Er beläuft sich auf 26.4 %. Da die Ausgleichsreserve der Beschwerdeführerin mit 26.4 % nicht weit von der mit 35 % festgesetzten Zielhöhe der Ausgleichsreserve der ET-Betriebe entfernt ist (vgl. Art. 16 Abs. 2 Prämientarif) befindet sich diese gemäss Vorinstanz in der Ruhezone und die Beschwerdeführerin hat im Versicherungsjahr 2017 keinen Beitrag zum Erreichen der Zielhöhe der Ausgleichsreserve zu leisten. Die Vorinstanz führt weiter aus, dass deshalb der Underwriter den Risikokompensationssatz auf 0 Prozent festgelegt habe, hingegen in der Klasse 70C, Unterklassenteil AO eine Korrektur von 0.975 % vorgenommen worden sei, um den durchschnittlich erwarteten Nettoprämiensatz dieser Klasse zu erreichen. Der Risikosatz der ET-Betriebe werde um diesen Faktor korrigiert. Die vom Underwriter vorgenommene Korrektur sei im Tarifierungssystem der Suva hinterlegt. Der von der Vorinstanz berechnete Nettobedarfssatz beträgt somit 3.3723 % (3.4588 % [Risikosatz Betrieb, vgl. E. 5.2.3] * 0.975 % [Korrektur UKT 70C AO]). Es ergeben sich vorliegend keine Anhaltspunkte, weshalb den Berechnungen und der Argumentation der Vorinstanz nicht gefolgt werden kann.</w:t>
      </w:r>
    </w:p>
    <w:p>
      <w:r>
        <w:rPr>
          <w:b/>
        </w:rPr>
        <w:t>E. 5.2.6</w:t>
      </w:r>
    </w:p>
    <w:p>
      <w:r>
        <w:t>Zu ermitteln bleibt der Nettoprämiensatz; dieser entspricht einem Nettosatz des Suva-Grundtarifs (Art. 39 Abs. 12 Prämientarif). Der vorliegend berechnete Nettobedarfssatz von 3.3723 % liegt dem Nettosatz des Grundtarifs von 3.36 % in der Stufe 106 am nächsten (Prämientarif, Anhang 1, S. 44) und entspricht dem von der Suva am 25. August 2016 verfügten Nettoprämiensatz. Somit ergibt sich, dass die Suva die Prämienbemessung richtig vorgenommen und den Nettoprämiensatz BUV per 2017 zu Recht lediglich auf 3.3600 % gesenkt hat. Der Antrag der Beschwerdeführerin, den Nettoprämiensatz auf 2.35 % herabzusetzen, ist deshalb abzuweisen.</w:t>
      </w:r>
    </w:p>
    <w:p>
      <w:r>
        <w:rPr>
          <w:b/>
        </w:rPr>
        <w:t>E. 5.2.7</w:t>
      </w:r>
    </w:p>
    <w:p>
      <w:r>
        <w:t>Die von der Beschwerdeführerin triplikweise vorgebrachte Rüge betreffend die Einreihung in die Klasse 70C kann ebenfalls nicht gehört werden, denn diese Einreihung entspricht dem Prämientarif-Grundtarif (S. 22) für die Branche "Personalverleih". Sie ist vorliegend richtig erfolgt. Ebenfalls unklar und nicht begründet ist, inwiefern die Suva ihre Pflicht zur Unfallverhütung in schwerwiegender Weise verletzt haben soll, sodass auf die diesbezügliche Rüge nicht weiter einzugehen ist.</w:t>
      </w:r>
    </w:p>
    <w:p>
      <w:r>
        <w:rPr>
          <w:b/>
        </w:rPr>
        <w:t>E. 5.3</w:t>
      </w:r>
    </w:p>
    <w:p>
      <w:r>
        <w:t>Zusammenfassend erweisen sich die von der Beschwerdeführerin vorgebrachten Rügen im Zusammenhang mit der angefochtenen Verfügung vom 25. August 2016, insbesondere betreffend die Berechnung des Nettoprämiensatzes in der BUV, als unbegründet. Die Beschwerde ist daher abzuweisen und der Einspracheentscheid vom 30. Januar 2017 ist zu bestätigen.</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