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C-1277/2006 vom 19. November 2007</w:t>
      </w:r>
    </w:p>
    <w:p>
      <w:r>
        <w:t>Bundesverwaltungsgericht, 2007-11-19, DE</w:t>
      </w:r>
    </w:p>
    <w:p>
      <w:r>
        <w:rPr>
          <w:b/>
        </w:rPr>
        <w:t xml:space="preserve">Quelle: </w:t>
      </w:r>
      <w:r>
        <w:t>https://mcp.opencaselaw.ch/entscheid/bvger_C-1277_2006</w:t>
      </w:r>
    </w:p>
    <w:p>
      <w:r>
        <w:t>FR: TAF C-1277/2006 du 19 novembre 2007</w:t>
      </w:r>
    </w:p>
    <w:p>
      <w:r>
        <w:t>IT: TAF C-1277/2006 del 19 novembre 2007</w:t>
      </w:r>
    </w:p>
    <w:p>
      <w:pPr>
        <w:pStyle w:val="Heading2"/>
      </w:pPr>
      <w:r>
        <w:t>Regeste</w:t>
      </w:r>
    </w:p>
    <w:p>
      <w:r>
        <w:t>Sozialhilfe an Auslandschweizer</w:t>
      </w:r>
    </w:p>
    <w:p>
      <w:pPr>
        <w:pStyle w:val="Heading2"/>
      </w:pPr>
      <w:r>
        <w:t>Erwägungen</w:t>
      </w:r>
    </w:p>
    <w:p>
      <w:r>
        <w:rPr>
          <w:b/>
        </w:rPr>
        <w:t>E. 1.1</w:t>
      </w:r>
    </w:p>
    <w:p>
      <w:r>
        <w:t>Verfügungen des BJ betreffend Fürsorgeleistungen an Auslandschweizerinnen und Auslandschweizer unterliegen der Beschwerde an das Bundesverwaltungsgericht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Der Beschwerdeführer ist als Verfügungsbetroffener zur Beschwerdeführung legitimiert (Art. 48 Abs. 1 VwVG). Auf die frist- und formgerecht eingereichte Beschwerde ist einzutreten, soweit sie sich gegen die vorinstanzliche Verfügung vom 16. August 2006 richtet (Art. 49 ff. VwVG). Für die übrigen Vorbringen verwies das damals zuständige EJPD den Betroffenen mit Zwischenverfügung vom 13. November 2006 an das Eidgenössische Departement für auswärtige Angelegenheiten (EDA).</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w:t>
      </w:r>
    </w:p>
    <w:p>
      <w:r>
        <w:rPr>
          <w:b/>
        </w:rPr>
        <w:t>E. 3</w:t>
      </w:r>
    </w:p>
    <w:p>
      <w:r>
        <w:t>Nach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w:t>
      </w:r>
    </w:p>
    <w:p>
      <w:r>
        <w:rPr>
          <w:b/>
        </w:rPr>
        <w:t>E. 4.1</w:t>
      </w:r>
    </w:p>
    <w:p>
      <w:r>
        <w:t>Aus den Akten geht hervor, dass der heute 65-jährige Beschwerdeführer bis ins Jahr 2006 im Stande war, den laufenden Lebensunterhalt mit seinen Einkünften zu bestreiten. Den Angaben in der Rechtsmitteleingabe zufolge besteht seine einzige Einnnahmequelle in der monatlichen Frührente nach Art. 40 AHVG, die er seit anfangs Oktober 2005 bezieht. Weil er nicht bedachte, dass die Beiträge der freiwilligen AHV bis zum Erreichen des ordentlichen AHV-Alters (Ende September 2007) zu entrichten sind, verlangt er nun materielle Hilfen gemäss dem ASFG. Damit will er die Prämienausstände der Jahre 2005 bis 2007 von total Fr. 2'363.40 begleichen. Das Budget, welches der Beschwerdeführer seinem Unterstützungsgesuch vom 29. Juni 2006 beigelegt hat, präsentiert sich praktisch ausgeglichen (Einnahmen: PHP 31'000.-, Ausgaben: PHP 30'750.-). Eine von der Vorinstanz erstellte Gegenüberstellung der Einnahmen und Ausgaben zeigt derweil einen monatlichen Überschuss von PHP 11'553.50 (umgerechnet Fr. 275.-), in der Vernehmlassung wird dieser in Berücksichtigung einer geringfügig tieferen AHV-Rente und Wechselkursschwankungen mit PHP 11'058.- (Fr. 267.-) beziffert. Das BJ lehnte es deshalb ab, den Beschwerdeführer zu unterstützen.</w:t>
      </w:r>
    </w:p>
    <w:p>
      <w:r>
        <w:rPr>
          <w:b/>
        </w:rPr>
        <w:t>E. 4.2</w:t>
      </w:r>
    </w:p>
    <w:p>
      <w:r>
        <w:t>Gemäss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 (vgl. Urteile des Bundesgerichts 2A.454/2006 vom 11. Oktober 2006 E. 2.1, 2A.24/2000 vom 20. März 2000 E. 2a und 2A.39/2A.198/1991 vom 30. April 1993 E. 3a). Mit Sozialhilfeleistungen nach dem ASFG sind nicht die wünschbaren, sondern wie angetönt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(vgl. beispielsweise die Richtlinien für die Bemessung der materiellen Hilfe gemäss Bundesgesetz vom 21. März 1973 über Fürsorgeleistungen an Auslandschweizer oder die Empfehlungen der Schweizerischen Konferenz für Sozialhilfe [SKOS]). Sowohl die schweizerischen Vertretungen im Ausland als auch das Bundesamt sind befugt, unrichtig oder unvollständig ausgefüllte Unterstützungsgesuche im dargelegten Sinne zu korrigieren bzw. zu ergänzen (vgl. Art. 20 und Art. 22 der Verordnung vom 26. November 1973 über Fürsorgeleistungen an Auslandschweizer [ASFV, SR 852.11]). Vorliegend gilt es vorab zu prüfen, ob sich aufgrund des Budgets eine Notlage im Sinne von Art. 1 und 5 ASFG ableiten lässt.</w:t>
      </w:r>
    </w:p>
    <w:p>
      <w:r>
        <w:rPr>
          <w:b/>
        </w:rPr>
        <w:t>E. 5.1</w:t>
      </w:r>
    </w:p>
    <w:p>
      <w:r>
        <w:t>Was die Einnahmenseite anbelangt, so gibt der Beschwerdeführer an, eine AHV-Rente in der Höhe von Fr. 811.- zu erhalten, was je nach Wechselkurs monatliche Auszahlungen zwischen PHP 31'000.- und PHP 34'000.- ergebe. Die Vorinstanz geht von einem Betrag von Fr. 818.- oder umgerechnet PHP 33'505.- bis PHP 34'000.- aus. Angesichts des momentanen Wechselkurses (Fr. 818.- entsprachen am 7. November 2007 rund PHP 31'183.50) scheint es jedoch gerechtfertigt, die Einkünfte auf den tieferen Durchschnittswert von PHP 31'000.- festzusetzen. Ob die Kinderrente, auf welche der Beschwerdeführer soweit ersichtlich ab Oktober 2007 ein Anrecht hat, ebenfalls mitzuberücksichtigen ist, spielt für den Ausgang des vorliegenden Verfahrens keine wesentliche Rolle, da der Betroffene - wie nachfolgend aufzuzeigen sein wird - bereits mit der jetzigen Rentenleistung genügend finanzielle Mittel hat, um den notwendigen Lebensbedarf zu decken und vorübergehend Beiträge für die freiwillige AHV auf die Seite zu legen.</w:t>
      </w:r>
    </w:p>
    <w:p>
      <w:r>
        <w:rPr>
          <w:b/>
        </w:rPr>
        <w:t>E. 5.2</w:t>
      </w:r>
    </w:p>
    <w:p>
      <w:r>
        <w:t>Der Beschwerdeführer hat in seinem Budget vom 29. Juni 2006 monatliche Ausgaben von PHP 30'750.- veranschlagt, nach den Berechnungen des BJ sind es PHP 22'446.50. Materielle Hilfen gemäss ASFG werden in der Regel nur an Personen mit ausschliesslichem oder vorherrschendem Schweizer Bürgerrecht ausgerichtet. Der Gesuchsteller lebt mit drei weiteren Personen in Hausgemeinschaft. Da lediglich er selber und seine Tochter im Besitze der schweizerischen Staatsangehörigkeit sind, fallen auch nur sie beide als Sozialhilfeempfänger in Betracht. Ob für Vater und Tochter eine Unterstützung angezeigt erscheint, berechnet sich unter den vorliegenden Umständen auf der Basis eines Vierpersonen-Haushaltes. Vom Total der Haushaltskosten wiederum kann einzig derjenige Anteil berücksichtigt werden, der von den Angehörigen der Kernfamilie verursacht wird. Von daher ist das Vorgehen der Vorinstanz nicht zu beanstanden. Gleiches gilt mit Blick auf den im Budget eingesetzten Grundbetrag für den Unterhalt sowie den frei verfügbaren Betrag. Der Unterhaltsbetrag pro Person wird in Zusammenarbeit mit der zuständigen schweizerischen Vertretung vor Ort jährlich neu festgelegt und kann innerhalb eines Landes von Region zu Region varieren. Aus den Akten ergeben sich keine konkreten Anhaltspunkte dafür, dass besagte Budgetpositionen den wirtschaftlichen Verhältnissen auf den Philippinen nicht angemessen wären. Ein Grossteil der Differenz zur Berechnung des Beschwerdeführers rührt denn daher, dass letzterer seine philippinische Ehefrau fälschlicherweise als unterstützungsberechtigt betrachtet.</w:t>
      </w:r>
    </w:p>
    <w:p>
      <w:r>
        <w:rPr>
          <w:b/>
        </w:rPr>
        <w:t>E. 5.3</w:t>
      </w:r>
    </w:p>
    <w:p>
      <w:r>
        <w:t>Auch hinsichtlich der Wohnkosten muss der vom Beschwerdeführer angegebene Betrag (PHP 10'000.- gegenüber PHP 8'021.- laut Vorinstanz) als eher hoch bezeichnet werden, was sich mit den Erfahrungswerten der Schweizerischen Botschaft deckt (siehe deren E-Mail vom 7. Dezember 2006). Selbst wenn die Mietnebenkosten (Wasser, Strom, etc.), die sich gemäss Schweizervertretung auf höchstens PHP 2'500.- belaufen, zu seinen Gunsten in einer separaten Budgetposition mitberücksichtigt werden, weist das Budget immer noch einen Einnahmenüberschuss von PHP 6'053.50 (Einnahmen von PHP 31'000.- abzüglich Ausgaben von PHP 24'946.50) aus.</w:t>
      </w:r>
    </w:p>
    <w:p>
      <w:r>
        <w:rPr>
          <w:b/>
        </w:rPr>
        <w:t>E. 5.4</w:t>
      </w:r>
    </w:p>
    <w:p>
      <w:r>
        <w:t>Ferner äussert sich der Beschwerdeführer in der Rechtsmitteleingabe vom 5. September 2006 dahingehend, dass er für die Bestreitung des Lebensunterhalts generell mehr Geld benötige. Seine diesbezüglichen Ausführungen sind indessen zu unsubstanziiert, als dass sie zu einer von der Vorinstanz abweichenden Einschätzung führen könnten. Einzelne Auslagen (beispielsweise für Elektrizität und Wasser oder das Kleinkind) sind im Übrigen bereits in den Wohnkosten bzw. dem Grundbetrag für den Unterhalt mitenthalten. Bei anderen Leistungen (Verkehrsauslagen, auswärtige Verpflegung, etc.), auf die im Rentenalter stehende Personen zum vornherein nicht tel quel Anspruch haben, unterlässt es der Beschwerdeführer, die angeblichen Mehrkosten zu belegen.</w:t>
      </w:r>
    </w:p>
    <w:p>
      <w:r>
        <w:rPr>
          <w:b/>
        </w:rPr>
        <w:t>E. 5.5</w:t>
      </w:r>
    </w:p>
    <w:p>
      <w:r>
        <w:t>Sodann wäre es unter den dargelegten Umständen zumindest der 30-jährigen philippinischen Ehefrau oder der im Haushalt lebenden 27- jährigen Schwägerin zuzumuten, einer Erwerbstätigkeit nachzugehen, um die Lage der Betroffenen zu verbessern (vgl. Art. 7 ASFG). Vor der Beanspruchung von Bundessozialhilfe wäre überdies abzuklären, ob die notwendigen Lebensbedürfnisse nicht durch Unterstützungsleistungen des Aufenthaltsstaates gedeckt werden könnten (vgl. die Urteile des Bundesgerichts 2A.454/2006 vom 11. Oktober 2006 E. 2.2 oder 2A.24/2000 vom 20. März 2000 E. 2a). So oder so verbleibt hier jedenfalls ein nicht unbedeutender Einnahmenüberschuss (siehe dazu die vorangehende E. 5.3). Angesicht der Grössenordnung der Reserven müsste der Beschwerdeführer demnach im Stande sein, die Ausstände der freiwilligen AHV, allenfalls in Absprache mit der Schweizerischen Ausgleichskasse in Genf, sukzessive zu begleichen. Da er inzwischen Anspruch auf eine Kinderrente hat (vgl. Art. 22ter AHVG), könnte er heute auf zusätzliche Einkünfte zurückgreifen.</w:t>
      </w:r>
    </w:p>
    <w:p>
      <w:r>
        <w:rPr>
          <w:b/>
        </w:rPr>
        <w:t>E. 5.6</w:t>
      </w:r>
    </w:p>
    <w:p>
      <w:r>
        <w:t>Soweit der Beschwerdeführer vorbringt, es gehe ihm lediglich um eine darlehensweise Übernahme der geltend gemachten Aufwendungen, so gilt es schliesslich darauf hinzuweisen, dass Unterstützungen normalerweise ohnehin zurückzuerstatten sind (Art. 19 ASFG, Art. 34 ASFV). Was die sonstigen Ausführungen betrifft (Zahnarztkosten, allenfalls später anfallende Auslagen im Zusammenhang mit medizinischen Behandlungen), so wäre die Übernahme solcher Kosten einzelfallweise - und ausser in Notfällen - vorgängig zu beantragen.</w:t>
      </w:r>
    </w:p>
    <w:p>
      <w:r>
        <w:rPr>
          <w:b/>
        </w:rPr>
        <w:t>E. 5.7</w:t>
      </w:r>
    </w:p>
    <w:p>
      <w:r>
        <w:t>Nach dem Gesagten hat die Vorinstanz zu Recht das Bestehen einer Notlage verneint und die Ausrichtung von Unterstützungsleistungen nach dem ASFG verweigert.</w:t>
      </w:r>
    </w:p>
    <w:p>
      <w:r>
        <w:rPr>
          <w:b/>
        </w:rPr>
        <w:t>E. 6</w:t>
      </w:r>
    </w:p>
    <w:p>
      <w:r>
        <w:t>Somit ergibt sich, dass die angefochtene Verfügung Bundesrecht nicht verletzt und den rechtserheblichen Sachverhalt richtig und vollständig festellt und angemessen ist (Art. 49 VwVG). Die Beschwerde ist daher abzuweisen, soweit darauf einzutreten ist.</w:t>
      </w:r>
    </w:p>
    <w:p>
      <w:r>
        <w:rPr>
          <w:b/>
        </w:rPr>
        <w:t>E. 7</w:t>
      </w:r>
    </w:p>
    <w:p>
      <w:r>
        <w:t>Bei diesem Ausgang des Verfahrens würde der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