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C-126/2012 vom 15. November 2013</w:t>
      </w:r>
    </w:p>
    <w:p>
      <w:r>
        <w:t>Bundesverwaltungsgericht, 2013-11-15, FR</w:t>
      </w:r>
    </w:p>
    <w:p>
      <w:r>
        <w:rPr>
          <w:b/>
        </w:rPr>
        <w:t xml:space="preserve">Quelle: </w:t>
      </w:r>
      <w:r>
        <w:t>https://mcp.opencaselaw.ch/entscheid/bvger_C-126_2012</w:t>
      </w:r>
    </w:p>
    <w:p>
      <w:r>
        <w:t>FR: TAF C-126/2012 du 15 novembre 2013</w:t>
      </w:r>
    </w:p>
    <w:p>
      <w:r>
        <w:t>IT: TAF C-126/2012 del 15 novembre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w:t>
      </w:r>
    </w:p>
    <w:p>
      <w:r>
        <w:t>L'objet du litige est le bien-fondé de la décision querellée qui rejette la demande de rente de l'assuré au motif d'un taux d'invalidité insuffisant. Le recourant conclut à l'annulation de la décision et à son renvoi pour complément d'instruction au sens des considérants et subsidiairement à l'octroi d'une rente avec effet rétroactif à dire de justice. De son côté l'autorité inférieure propose en revanche de confirmer la décision attaquée.</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4.1</w:t>
      </w:r>
    </w:p>
    <w:p>
      <w:r>
        <w:t>À titre préliminaire, le recourant se plaint d'une grave violation du droit d'être entendu. Il fait en particulier valoir que la décision attaquée n'explique pas comment la comparaison des revenus a été effectuée ni n'indique ses bases de calcul. Il expose en outre ne pas avoir eu connaissance du document contenant la comparaison des revenus. L'autorité inférieure n'aurait donc pas respecté son obligation de motiver sa décision.</w:t>
      </w:r>
    </w:p>
    <w:p>
      <w:r>
        <w:rPr>
          <w:b/>
        </w:rPr>
        <w:t>E. 4.2</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Berne 2013, n. 1358;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(ATF 133 I 270 consid. 3.1, ATF 133 III 439 consid. 3.3; arrêt du Tribunal fédéral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ATF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ATF 136 I 184 consid. 2.2.1, ATF 135 V 65 consid. 2.6 et les arrêts cités ; ATAF 2010/35 consid. 4.1.2).</w:t>
      </w:r>
    </w:p>
    <w:p>
      <w:r>
        <w:rPr>
          <w:b/>
        </w:rPr>
        <w:t>E. 4.3</w:t>
      </w:r>
    </w:p>
    <w:p>
      <w:r>
        <w:t>En l'espèce, l'autorité inférieure a transmis au représentant du recourant une copie du dossier par courrier du 23 septembre 2008 (pce 55). On peut supposer que les pces 39 et 40 (respectivement les évaluations de l'invalidité effectuées les 15 août 2007 et 22 avril 2008) étaient contenues dans cet envoi. L'affirmation du représentant du recourant selon laquelle il n'aurait pas pris connaissance de l'évaluation du 22 avril 2008 n'est donc pas correcte. Il convient en revanche d'admettre que la motivation de la décision attaquée du 15 novembre 2011 est relativement sommaire en ce qui concerne la comparaison des revenus. Cette motivation n'est toutefois pas inexistante, dans la mesure où elle se réfère explicitement à l'évaluation du 22 avril 2008. Il s'ensuit que même s'il y avait lieu d'admettre une violation du droit d'être entendu, on ne peut la qualifier de particulièrement grave à l'instar du recourant.</w:t>
      </w:r>
    </w:p>
    <w:p>
      <w:r>
        <w:rPr>
          <w:b/>
        </w:rPr>
        <w:t>E. 4.4</w:t>
      </w:r>
    </w:p>
    <w:p>
      <w:r>
        <w:t>De plus, 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 Dans le cas présent, dans sa réponse du 24 mai 2012, l'autorité inférieure a explicité la comparaison de revenus et le recourant a eu l'occasion de prendre position dans le cadre de la réplique. Il n'a donc pas subi de préjudice en relation avec la motivation sommaire de la décision attaquée du 15 novembre 2011. Au vu de ce qui précède, il ne se justifie pas d'annuler la décision attaquée pour cause de violation du droit d'être entendu. Il reste donc à examiner si c'est à bon droit que l'autorité inférieure a refusé d'allouer des prestations AI au recourant.</w:t>
      </w:r>
    </w:p>
    <w:p>
      <w:r>
        <w:rPr>
          <w:b/>
        </w:rPr>
        <w:t>E. 5.1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 présent examen du droit à la rente est ainsi soumis, d'une part, pour la période jusqu'au 31 décembre 2007 à la teneur de la LAI selon la 4ème révision entrée en vigueur le 1er janvier 2004, vu le dépôt de la demande de rente du 26 juillet 2005 qui s'est soldée par l'arrêt du Tribunal de céans du 13 octobre 2010 ayant annulé la décision du 20 août 2008 et requis un complément d'instruction, et, d'autre part, à la teneur de la 5ème révision de la LAI pour la période à compter du 1er janvier 2008 jusqu'à la date de la décision dont est recours, soit le 15 novembre 2011 (ATF 130 V 445 et les références; voir ég. l'arrêt du Tribunal fédéral I 404/05 du 19 septembre 2006 consid. 3). Les dispositions citées ci-après sont sauf précision contraire celles en vigueur jusqu'au 31 décembre 2007 étant précisé que l'application du droit de la 5ème révision de la LAI à compter du 1er janvier 2008 ne modifie pas la notion d'invalidité, ni la manière d'évaluer le taux d'invalidité (cf. arrêt du Tribunal fédéral 9C_942/2009 du 15 mars 2010 consid. 3.1). En d'autres termes les dispositions applicables à compter du 1er janvier 2008 ne seraient pas plus favorables au recourant que celles applicables jusqu'au 31 décembre 2007, ce qui motive l'énoncé dans le présent arrêt des seules dispositions de la 4ème révision de la LAI. Les dispositions de la 6ème révision de la LAI (premier volet) en vigueur depuis le 1er janvier 2012 (RO 2011 5659, FF 2010 1647) ne sont en revanche pas applicables.</w:t>
      </w:r>
    </w:p>
    <w:p>
      <w:r>
        <w:rPr>
          <w:b/>
        </w:rPr>
        <w:t>E. 5.2</w:t>
      </w:r>
    </w:p>
    <w:p>
      <w:r>
        <w:t>Le recourant a déposé sa demande de rente le 26 juillet 2005. En dérogation à l'art. 24 LPGA, l'ancien art. 48 al. 2 LAI prévoit que si l'assuré présente sa demande de rente plus de douze mois après la naissance du droit, les prestations ne sont allouées que pour les douze mois précédant le dépôt de la demande. Concrètement le Tribunal peut se limiter, en l'espèce, à examiner si le recourant avait droit à une rente au plus tard rétroactivement le 26 juillet 2004 (12 mois avant le dépôt de la demande) ou si le droit à une rente était né entre cette date et le 15 novembre 2011, date de la décision attaquée marquant la limite dans le temps du pouvoir d'examen de l'autorité de recours (ATF 129 V 1 consid. 2.1 avec les réf.).</w:t>
      </w:r>
    </w:p>
    <w:p>
      <w:r>
        <w:rPr>
          <w:b/>
        </w:rPr>
        <w:t>E. 6</w:t>
      </w:r>
    </w:p>
    <w:p>
      <w:r>
        <w:t>Selon les normes en vigueur jusqu'au 31 décembre 2007, tout requérant, pour avoir droit à une rente de l'assurance-invalidité suisse, doit remplir cumulativement les conditions suivantes lors du dépôt de la demande : - être invalide au sens de la LPGA et de la LAI (art. 8 LPGA, 4, 28, 29 al. 1 LAI); -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7.2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 jusqu'au 31 mars 2012 - les rentes correspondant à un degré d'invalidité inférieur à 50% ne sont versées qu'aux assurés qui ont leur domicile et leur résidence habituelle en Suisse (art. 28 al. 1ter LAI).</w:t>
      </w:r>
    </w:p>
    <w:p>
      <w:r>
        <w:rPr>
          <w:b/>
        </w:rPr>
        <w:t>E. 7.3</w:t>
      </w:r>
    </w:p>
    <w:p>
      <w:r>
        <w:t>Depuis l'entrée en vigueur des Accords sur la libre circulation des personnes, les ressortissants de l'Union européenne et les ressortissants suisses, qui présentent un degré d'invalidité de 40% au moins, ont droit à un quart de rente en application de l'art. 28 al. 1 LAI à partir du 1er juin 2002 s'ils ont leur domicile et leur résidence habituelle dans un Etat membre de l'UE.</w:t>
      </w:r>
    </w:p>
    <w:p>
      <w:r>
        <w:rPr>
          <w:b/>
        </w:rPr>
        <w:t>E. 7.4</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7.5</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22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w:t>
      </w:r>
    </w:p>
    <w:p>
      <w:r>
        <w:rPr>
          <w:b/>
        </w:rPr>
        <w:t>E. 7.6</w:t>
      </w:r>
    </w:p>
    <w:p>
      <w:r>
        <w:t>Une incapacité de travail de 20% doit être prise en compte pour le calcul de l'incapacité de travail moyenne selon l'art. 29 al. 1 let. b LAI (cf. chiffre marginal 2016 de la Circulaire concernant l'invalidité et l'impotence dans sa version applicable au 31 décembre 2007; Jurisprudence et pratique administrative des autorités d'exécution de l'AVS/AI [Pratique VSI] 1998 p. 126 consid. 3c).</w:t>
      </w:r>
    </w:p>
    <w:p>
      <w:r>
        <w:rPr>
          <w:b/>
        </w:rPr>
        <w:t>E. 8.1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ATF 115 V consid. 2, ATF 114 V 314 consid. 3c, ATF 105 V 158 consid. 1; RCC 1991 p. 331 consid. 1c).</w:t>
      </w:r>
    </w:p>
    <w:p>
      <w:r>
        <w:rPr>
          <w:b/>
        </w:rPr>
        <w:t>E. 8.2</w:t>
      </w:r>
    </w:p>
    <w:p>
      <w:r>
        <w:t>En l'espèce, l'intéressé a travaillé en dernier lieu comme chauffeur de poids lourds. Dans les rapports médicaux établis par les médecins consultés par le recourant et les médecins requis de se déterminer par la SUVA et l'OAIE, il est notamment fait état de dorsalgies, gonalgies, séquelles diverses post-traumatiques et d'atteintes d'ordre psychique d'intensité non clinique.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services médicaux régionaux de l'AI, cas échéant le service médical de l'OAIE, évaluent les conditions médicales du droit aux prestations. Ils sont libres dans le choix de la méthode d'examen appropriée, dans le cadre de leurs compétences médicales et des directives spécialisées de portée générale de l'office fédéral (art. 49 al. 1 RAI). La valeur probante d'une prise de position du service médical de l'OAIE n'est pas altérée du simple fait que le médecin de l'office AI n'a pas examiné personnellement l'assuré; l'art. 49 al. 2 RAI énonce expressément que les services médicaux procèdent au besoin eux-mêmes à des examens médicaux sur la personne des assurés (arrêt du Tribunal fédéral 9C_323/2009 consid. 4.3.1 et les réf.), ce qui signifie que l'examen s'effectue de base sur dossier et compte tenu de la documentation jugée complète par le service médical.</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spécialisées à la disposition de la justice afin de l'éclairer sur les aspects médicaux d'un état de fait donné (ATF 125 V 352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9.4</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L'administration peut procéder à une appréciation anticipée des preuves pour juger de la non nécessité d'une expertise médicale si le dossier est complet (cf. ATF 135 V 2 consid. 1.3).</w:t>
      </w:r>
    </w:p>
    <w:p>
      <w:r>
        <w:rPr>
          <w:b/>
        </w:rPr>
        <w:t>E. 9.5</w:t>
      </w:r>
    </w:p>
    <w:p>
      <w:r>
        <w:t>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arrêt du Tribunal fédéral 9C_159/2013 consid. 4.1 du 22 juillet 2013).</w:t>
      </w:r>
    </w:p>
    <w:p>
      <w:r>
        <w:rPr>
          <w:b/>
        </w:rPr>
        <w:t>E. 10</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Tribunal fédéral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Valterio, op. cit.,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Gustavo Scartazzini / Marc Hürzeler, Bundessozialversicherungsrecht, 4ème éd. Bâle 2012, § 10 n° 39 ss) - n'a pas limité le champ d'investigation de l'expertise.</w:t>
      </w:r>
    </w:p>
    <w:p>
      <w:r>
        <w:rPr>
          <w:b/>
        </w:rPr>
        <w:t>E. 11.1</w:t>
      </w:r>
    </w:p>
    <w:p>
      <w:r>
        <w:t>Dans la présente cause il n'est pas contesté que l'intéressé n'a plus été en mesure d'exercer son ancienne activité de chauffeur de poids lourds impliquant des activités de chargements et déchargements de marchandises depuis son accident de voiture du 27 juillet 2004 en raison notamment de dorsalgies, gonalgies et d'impossibilité de ports de charges de plus de 15kg. Ce point étant non controversé il ne sera pas discuté. Seul est objet de discussion la capacité résiduelle de travail de l'assuré dans des activités de substitution adaptées à son état de santé.</w:t>
      </w:r>
    </w:p>
    <w:p>
      <w:r>
        <w:rPr>
          <w:b/>
        </w:rPr>
        <w:t>E. 11.2</w:t>
      </w:r>
    </w:p>
    <w:p>
      <w:r>
        <w:t>Le premier rapport médical déterminant est le rapport E 213 du 4 mai 2005 signé du Dr C._______. Celui-ci retient le diagnostic de fracture du D11 stable, de séquelles de pancréatite post-traumatique. Il relève les limitations de mobilité cervicale réduite de 50%, une faible tolérance à l'effort, une mobilité limitée du tronc. Positivement il retient des membres supérieurs et inférieurs normaux, une marche normale, une force et un tonus musculaire normaux. Le rapport relève une évolution lentement favorable et des plaintes encore explicables par les pathologies évoquées ayant entraîné une grave altération de l'état général actuellement récupéré. Ce rapport retient une capacité de travail complète dans une activité légère adaptée de type sédentaire sans port de charges et sollicitation du tronc. En référence à la législation belge le Dr C._______ énonce un taux d'invalidité supérieur à 66% pour toute activité de substitution. Cette référence à la législation belge n'a qu'une valeur informative car seul le droit suisse est applicable. Est déterminante dans ce rapport l'indication selon laquelle l'intéressé peut exercer une activité à plein temps légère adaptée.</w:t>
      </w:r>
    </w:p>
    <w:p>
      <w:r>
        <w:rPr>
          <w:b/>
        </w:rPr>
        <w:t>E. 11.3</w:t>
      </w:r>
    </w:p>
    <w:p>
      <w:r>
        <w:t>Le deuxième rapport médical déterminant est celui effectué par le CEMed de Nyon daté des 19 avril et 11 et 12 juin 2007. Ce rapport, relevant les plaintes de l'assuré de douleurs dorsales et de troubles gastriques interférant sur l'activité quotidienne, indique un bon status général sous réserve d'une obésité tronculaire, pas d'atteintes déterminantes au niveau du rachis et des membres supérieurs et inférieurs, une marche normale, un status mental sans trouble décelé dans le sens clinique. Il retient pour l'assuré une capacité de travail complète sans interruption dans le temps, sans diminution de rendement dans une activité adaptée avec notamment une limitation des charges répétées à 15kg, l'alternance possible des positions, sans accroupissements ni positions en antépulsuion du tronc avec un large bras de levier. La SUVA s'est fondée sur ce rapport pour reconnaître à l'intéressé une pleine capacité de travail dans une activité adaptée par décision sur opposition du 22 août 2008 contre laquelle l'intéressé n'a d'ailleurs par recouru. Il sied également de relever (art. 40 du règlement (CEE) n° 574/72; cf. supra consid. 3.4), que l'assuré a été reconnu en incapacité selon la législation belge jusqu'au 31 juillet 2005 (cf. pce 88 datée du 20 janvier 2011).</w:t>
      </w:r>
    </w:p>
    <w:p>
      <w:r>
        <w:rPr>
          <w:b/>
        </w:rPr>
        <w:t>E. 11.4</w:t>
      </w:r>
    </w:p>
    <w:p>
      <w:r>
        <w:t>Le troisième rapport médical déterminant est celui du Dr B._______ du 4 juillet 2008 qui fait état notamment de dorsolombalgies à la marche et à la station debout prolongée, de gonalgies après 200m. de marche et de troubles du transit perturbant le rythme de travail. Ce rapport retient une capacité de travail de 50% dans une activité sans port de charge, sans position assise ou debout prolongée, limitant les déplacements, permettant de couper le rythme de travail, entraînant une moindre résistance à la fatigue. Ce rapport retient au final un taux d'incapacité permanente d'au moins 40%. Sur le plan somatique les constatations du Dr B._______ sont analogues à celles des précédents rapports médicaux. Le Dr B._______ ne justifie cependant pas son appréciation de la limitation de la capacité de travail dans une activité adaptée légère de type sédentaire permettant les changements de position. L'indication de mictions 5x/j. n'est pas de nature à empêcher un travail à plein temps. Comme l'a relevé l'assuré le Dr B.______ n'est pas son médecin traitant, mais il sied néanmoins de relever que le Dr B._______ a été mandaté par l'assuré pour se déterminer sur son cas et dans ces circonstances il peut être retenu qu'un médecin, tout en restant dans le cadre de son art, puisse émettre une appréciation favorable à son patient (cf. le consid. 8.3 supra). Or en l'espèce faute d'éléments objectifs justifiant la limitation de la capacité de travail dans des activités adaptées, l'appréciation du Dr B.______ ne peut primer celle des experts du CEMed de Nyon. A noter d'ailleurs que l'assuré n'a pas contesté la décision sur opposition de la SUVA du 22 août 2008, fondée sur l'expertise du CEMed de Nyon d'avril/juin 2007, ayant suivi de quelque un mois et demi le rapport médical du Dr B._______.</w:t>
      </w:r>
    </w:p>
    <w:p>
      <w:r>
        <w:rPr>
          <w:b/>
        </w:rPr>
        <w:t>E. 11.5</w:t>
      </w:r>
    </w:p>
    <w:p>
      <w:r>
        <w:t>Le quatrième rapport médical déterminant est le rapport E 213 du 6 mai 2011 signé du Dr L._______. Outre de rappeler les atteintes à la santé précédemment énoncées, ce rapport indiqua deux interventions chirurgicales aux genoux en 2010 et un périmètre de marche (amélioré) de 500m. Il mentionna aussi des périodes de chômage en Belgique depuis juillet 2008 et une période en cours depuis le 3 août 2010 avec une activité indépendante et complémentaire d'aménagements et petits terrassements (périodes de chômage et activités non signalées dans le questionnaire à l'assuré daté du 19 juillet 2011). Sur le plan somatique, outres les atteintes connues, le rapport releva notamment que les membres inférieurs ne présentaient pas d'amyotrophie, que l'accroupissement était imparfait et l'agenouillement impossible, que la marche était normale. Le diagnostic retenu relevant dans la présente cause fut celui de gonalgies bilatérales, séquelles traumatiques et dorsolombalgies, troubles digestifs. Le rapport indiqua la possibilité de travaux légers moyennant une adaptation des horaires de travail avec les limitations précédemment énoncées et indiqua un taux d'invalidité de moins de 66% selon la législation du pays de résidence. La référence du taux d'invalidité selon le pays de résidence est une donnée informative ne liant pas l'OAIE, dans cette appréciation seul s'applique le droit suisse. Or, des informations figurant au rapport E 213, une capacité de travail entière dans une activité adaptée, tenant compte des restrictions fonctionnelles énoncées dans les divers rapports médicaux précédents, peut être retenue.</w:t>
      </w:r>
    </w:p>
    <w:p>
      <w:r>
        <w:rPr>
          <w:b/>
        </w:rPr>
        <w:t>E. 11.6</w:t>
      </w:r>
    </w:p>
    <w:p>
      <w:r>
        <w:t>A l'instar du Dr K._______ le Tribunal de céans relève que le rapport E 213 du 6 mai 2011 ne diffère pas fondamentalement du rapport d'expertise d'avril/juin 2007 du CEMed de Nyon et qu'il y a lieu de retenir le diagnostic quasi inchangé de lombalgies post fracture du D11 en 2004 dans le cadre d'un poly traumatisme, de gonalgies, bilatérales avec importantes gonarthrose, de status post opération en 2010 du ménisque et arthroscopie induisant une incapacité de travail de 70% dans l'activité habituelle et des activités de substitution depuis le 27 juillet 2004 et de 0% dans des activités de substitution (aussi avec responsabilité) dès le 4 mai 2005 en positions assise/debout alternées avec ports occasionnels de charges limitées à 15kg. Les troubles du transit invoqués par l'assuré pour fonder une activité à temps partiel ne sont pas d'une intensité telle qu'ils ne permettent pas une activité à plein temps. Des mictions 5x/j. restent dans le raisonnable sans que cela influe sur l'efficience des activités fournies en cours de journée.</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coûts de la vie ne sont pas les mêmes entre deux pays et ne permettent pas une comparaison objective (ATF 110 V 273 consid. 4b). Pour cette raison on ne peut pas prendre en considération les données belges, qui du reste ne sont pas connues.</w:t>
      </w:r>
    </w:p>
    <w:p>
      <w:r>
        <w:rPr>
          <w:b/>
        </w:rPr>
        <w:t>E. 12.3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13.1</w:t>
      </w:r>
    </w:p>
    <w:p>
      <w:r>
        <w:t>En l'espèce il y a lieu de procéder à une évaluation de l'invalidité selon la méthode générale par une comparaison de revenus sur la base de l'ESS 2004 indexé 2005 vu que le droit à la rente pourrait cas échéant s'ouvrir rétroactivement au 1er juillet 2005 vu le dépôt de la demande du 26 juillet 2005 et le cas d'assurance survenu le 27 juillet 2004. En effet, selon la jurisprudence, les salaires avant et après invalidité doivent être pris en compte indexés jusqu'à la date de la survenance du droit théorique éventuel à la rente suite au délai d'attente d'une année (ATF 128 V 174 et 129 V 222).</w:t>
      </w:r>
    </w:p>
    <w:p>
      <w:r>
        <w:rPr>
          <w:b/>
        </w:rPr>
        <w:t>E. 13.2</w:t>
      </w:r>
    </w:p>
    <w:p>
      <w:r>
        <w:t>Le salaire annuel de l'assurée dans sa dernière activité du secteur des transports terrestres avec des connaissances spécialisées (niveau de qualification 3) aurait été en 2004 comme l'a établi l'OAIE le 15 août 2007 de 5'197.- francs par mois pour 40 h./sem. et de 5'456.85 par mois pour 42 h./sem. usuels dans la branche des transports terrestres (cf. pce 39 et supra p. 6). Indexé 2005 (+0.4%) ce montant se serait élevé à 5'478.67 francs.</w:t>
      </w:r>
    </w:p>
    <w:p>
      <w:r>
        <w:rPr>
          <w:b/>
        </w:rPr>
        <w:t>E. 13.3</w:t>
      </w:r>
    </w:p>
    <w:p>
      <w:r>
        <w:t>Le salaire après invalidité doit être fixé sur la base des données statistiques résultant de l'ESS 2004 (table TA1) indexé 2005. En l'occurrence les activités de substitution possibles s'inscrivent dans la détermination du revenu médian toutes branches confondues des hommes dans le secteur privé pour des activités simples et répétitives (niveau 4) à 100%, soit 4'588.- francs pour 40 h./sem. et 4'782.99.- francs pour 41.7 h./sem. en 2004 sous déduction de 5% pour tenir compte de l'âge de l'assuré né en 1961 et de ses restrictions personnelles aux activités légères sédentaires avec changements de positions sans manipulation et port de charges de plus de 15kg, soit 4'543.84 francs valeur 2004 et 4'589.27 francs par mois (+ 1%) valeur 2005. De nombreuses activités d'entre elles peuvent être exercées en position assise et debout alternées autorisant le changement fréquent de position, sans port et manipulation de charges de plus de 15kg, sans provoquer des sollicitations répétées du rachis, de sorte que ces activités sont adaptées à la situation du recourant. De plus, la majeure partie de ces postes ne nécessite pas de formation particulière autre qu'une mise au courant initiale. Par ailleurs l'abattement de 5% appliqué par l'OAIE est correct car dans le type d'activités précitées l'assuré pourra travailler sans problème avec ses membres supérieurs.</w:t>
      </w:r>
    </w:p>
    <w:p>
      <w:r>
        <w:rPr>
          <w:b/>
        </w:rPr>
        <w:t>E. 13.4</w:t>
      </w:r>
    </w:p>
    <w:p>
      <w:r>
        <w:t>En comparant le salaire avant invalidité de 5'478.67.- francs par mois avec celui après invalidité de 4'589.27 francs, on obtient une perte de gain de 16.23% ([5'478.67 - 4'589.27] : 5'478.67 x 100) arrondie à 16%. Ce taux n'ouvre pas le droit à un quart de rente. Mêmes indexés valeurs 2011 les montants précités n'ouvrent pas le droit à une rente d'invalidité. Vu le dépôt de la demande de rente le 26 juillet 2005, le cas d'assurance du 27 juillet 2004 et l'arrêt du Tribunal de céans du 13 octobre 2010 ayant annulé la décision du 20 août 2008, les bases de calcul retenues le 15 août 2007, hormis l'indexation 2005 manquante, étaient correctes; les bases de calcul retenues le 22 avril 2008 prenant en compte l'ESS 2006 (pce 48) ne sont en revanche pas correctes. Vu ce qui précède le recours doit être rejeté et la décision entreprise confirmée.</w:t>
      </w:r>
    </w:p>
    <w:p>
      <w:r>
        <w:rPr>
          <w:b/>
        </w:rPr>
        <w:t>E. 14.1</w:t>
      </w:r>
    </w:p>
    <w:p>
      <w:r>
        <w:t>Vu l'issue de la procédure, les frais de celle-ci, fixés à 300 francs, sont mis à la charge du recourant (art. 63 al. 1 PA, applicable par le truchement de l'art. 37 LTAF). Ils sont compensés par l'avance de frais du même montant dont il s'est acquitté au cours de l'instruction.</w:t>
      </w:r>
    </w:p>
    <w:p>
      <w:r>
        <w:rPr>
          <w:b/>
        </w:rPr>
        <w:t>E. 14.2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