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C-125/2010 vom 10. September 2010</w:t>
      </w:r>
    </w:p>
    <w:p>
      <w:r>
        <w:t>Bundesverwaltungsgericht, 2010-09-10, IT</w:t>
      </w:r>
    </w:p>
    <w:p>
      <w:r>
        <w:rPr>
          <w:b/>
        </w:rPr>
        <w:t xml:space="preserve">Quelle: </w:t>
      </w:r>
      <w:r>
        <w:t>https://mcp.opencaselaw.ch/entscheid/bvger_C-125_2010</w:t>
      </w:r>
    </w:p>
    <w:p>
      <w:r>
        <w:t>FR: TAF C-125/2010 du 10 septembre 2010</w:t>
      </w:r>
    </w:p>
    <w:p>
      <w:r>
        <w:t>IT: TAF C-125/2010 del 10 settembre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impugnata del 4 dicembre 2009, l'incarto è rinviato all'UAIE, affinché completi l'istruttoria secondo i considerandi e statuisca di nuovo.</w:t>
      </w:r>
    </w:p>
    <w:p>
      <w:r>
        <w:rPr>
          <w:b/>
        </w:rPr>
        <w:t>E. 2</w:t>
      </w:r>
    </w:p>
    <w:p>
      <w:r>
        <w:t>Non si prelevano spese processuali.</w:t>
      </w:r>
    </w:p>
    <w:p>
      <w:r>
        <w:rPr>
          <w:b/>
        </w:rPr>
        <w:t>E. 3</w:t>
      </w:r>
    </w:p>
    <w:p>
      <w:r>
        <w:t>Alla parte ricorrente è riconosciuta un'indennità per spese ripetibili di Fr. 2'000.-, la quale è posta a carico dell'UAIE.</w:t>
      </w:r>
    </w:p>
    <w:p>
      <w:r>
        <w:rPr>
          <w:b/>
        </w:rPr>
        <w:t>E. 4</w:t>
      </w:r>
    </w:p>
    <w:p>
      <w:r>
        <w:t>Comunicazione: al rappresentante della ricorrente (Atto giudiziario); all'autorità inferiore (n. di rif. ...; Raccomandata); all'Ufficio federale delle assicurazioni sociali (Raccomandata).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