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C-1259/2009 vom 2. Mai 2011</w:t>
      </w:r>
    </w:p>
    <w:p>
      <w:r>
        <w:t>Bundesverwaltungsgericht, 2011-05-02, FR</w:t>
      </w:r>
    </w:p>
    <w:p>
      <w:r>
        <w:rPr>
          <w:b/>
        </w:rPr>
        <w:t xml:space="preserve">Quelle: </w:t>
      </w:r>
      <w:r>
        <w:t>https://mcp.opencaselaw.ch/entscheid/bvger_C-1259_2009</w:t>
      </w:r>
    </w:p>
    <w:p>
      <w:r>
        <w:t>FR: TAF C-1259/2009 du 2 mai 2011</w:t>
      </w:r>
    </w:p>
    <w:p>
      <w:r>
        <w:t>IT: TAF C-1259/2009 del 2 maggio 2011</w:t>
      </w:r>
    </w:p>
    <w:p>
      <w:pPr>
        <w:pStyle w:val="Heading2"/>
      </w:pPr>
      <w:r>
        <w:t>Regeste</w:t>
      </w:r>
    </w:p>
    <w:p>
      <w:r>
        <w:t>Assurance-invalidité (AI)</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est applicable (art. 3 let. dbis PA en relation avec art. 37 LTAF). Les dispositions de la LPGA s'appliquent à l'assurance-invalidité (art. 1a à 26bis et 28 à 70), à moins que la LAI n'y déroge pas (art. 1 al. 1 LAI).</w:t>
      </w:r>
    </w:p>
    <w:p>
      <w:r>
        <w:rPr>
          <w:b/>
        </w:rPr>
        <w:t>E. 1.3</w:t>
      </w:r>
    </w:p>
    <w:p>
      <w:r>
        <w:t>A._______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Les dispositions de la LPGA sont applicables en matière d'assurance-invalidité si et dans la mesure où la LAI le prévoit (art. 2 LPGA et art. 1 al. 1 LAI).</w:t>
      </w:r>
    </w:p>
    <w:p>
      <w:r>
        <w:rPr>
          <w:b/>
        </w:rPr>
        <w:t>E. 4.2</w:t>
      </w:r>
    </w:p>
    <w:p>
      <w:r>
        <w:t>S'agissant du droit applicable dans le temps, il convient de préciser que les modifications de la 5ème révision AI entrées en vigueur le 1er janvier 2008 ne sont pas déterminantes dans le cas d'espèce eu égard au principe selon lequel les règles applicables sont celles en vigueur au moment où les faits juridiquement décisifs se sont produits (ATF 130 V 445 consid. 1.2). Le présent arrêt fait donc référence aux dispositions en vigueur jusqu'au 31 décembre 2007.</w:t>
      </w:r>
    </w:p>
    <w:p>
      <w:r>
        <w:rPr>
          <w:b/>
        </w:rPr>
        <w:t>E. 5</w:t>
      </w:r>
    </w:p>
    <w:p>
      <w:r>
        <w:t>Pour avoir droit à une rente de l'assurance invalidité suisse tout requérant doit remplir cumulativement les conditions suivantes: - être invalide au sens de la LPGA/LAI et - avoir versé des cotisations à l'AVS/AI durant au moins une année (art. 36 LAI en vigueur jusqu'au 31 décembre 2007). En l'occurrence, le recourant qui a travaillé plusieurs années en Suisse, remplit la condition liée à la durée minimale de cotisations. Il reste dès lors à examiner s'il est invalide au sens de la LAI.</w:t>
      </w:r>
    </w:p>
    <w:p>
      <w:r>
        <w:rPr>
          <w:b/>
        </w:rPr>
        <w:t>E. 6.1</w:t>
      </w:r>
    </w:p>
    <w:p>
      <w:r>
        <w:t>A._______ a été reconnu entièrement invalide par l'INSS à partir du 9 octobre 2006 en raison d'une spondylodiscarthrose cervicale, d'une myélopathie en C5-C6 et d'une spondylarthorse lombaire. Il a interrompu son activité indépendante dans le domaine de la construction et de la maçonnerie. L'intéressé qui nie d'être en mesure de reprendre une quelconque activité lucrative demande à obtenir une rente AI. L'OAIE de son côté soutient que le recourant est, en dépit de ses problèmes de santé, encore en mesure d'exercer à plein temps une activité de substitution dans des travaux légers et adaptés, de sorte qu'il ne peut pas se prévaloir d'une perte de gain suffisante pour ouvrir le droit à une rente AI.</w:t>
      </w:r>
    </w:p>
    <w:p>
      <w:r>
        <w:rPr>
          <w:b/>
        </w:rPr>
        <w:t>E. 6.2</w:t>
      </w:r>
    </w:p>
    <w:p>
      <w:r>
        <w:t>A titre liminaire, il sied de rappeler au recourant que le degré d'invalidité d'un assuré qui prétend à une rente de l'assurance-invalidité suisse est déterminé exclusivement d'après le droit suisse (cf. supra consid. 3.1). Les décisions prises par la sécurité sociale espagnole ne lient pas les autorités suisses (ATF 130 V 253 consid. 2.4, arrêt du Tribunal fédéral I 435/02 du 4 février 2003 consid. 2). Partant, l'OAIE pouvait parfaitement s'écarter de la décision de l'INSS.</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En cas d'incapacité de travail de longue durée, l'activité qui peut être exigée de l'assuré peut aussi relever d'une autre profession ou d'un autre domaine d'activité (art. 6 LPGA). Selon l'assurance-invalidité suisse, la notion d'invalidité est de nature économique et non médicale (ATF 116 V 246 consid. 1b). Seules les pertes économiques liées à une atteinte à la santé sont assurées. Ainsi, le taux d'invalidité ne se confond pas nécessairement avec le taux d'incapacité fonctionnelle déterminé par le médecin.</w:t>
      </w:r>
    </w:p>
    <w:p>
      <w:r>
        <w:rPr>
          <w:b/>
        </w:rPr>
        <w:t>E. 7.2</w:t>
      </w:r>
    </w:p>
    <w:p>
      <w:r>
        <w:t>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Toutefois, les rentes correspondant à un degré d'invalidité inférieur à 50% ne sont versées qu'aux assurés qui ont leur domicile et leur résidence habituelle en Suisse (art. 28 al. 1ter LAI dans sa teneur antérieure au 1er janvier 2008). Depuis l'entrée en vigueur de l'ALCP le 1er juin 2002,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A._______ souffre principalement d'arthrose cervicale et lombaire avec radiculopathie et d'un trouble de l'adaptation. Etant donné qu'il ne s'agit pas d'un état de santé stable, seule peut entrer en considération la let. b de l'art. 29 al. 1 LAI prévoyant une période d'attente d'une année à partir du début de l'incapacité de travail relevante pour la détermination du début du droit à la rente.</w:t>
      </w:r>
    </w:p>
    <w:p>
      <w:r>
        <w:rPr>
          <w:b/>
        </w:rPr>
        <w:t>E. 8.1</w:t>
      </w:r>
    </w:p>
    <w:p>
      <w:r>
        <w:t>Pour pouvoir calculer le degré de l'invalidité, l'art. 69 du règlement sur l'assurance-invalidité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w:t>
      </w:r>
    </w:p>
    <w:p>
      <w:r>
        <w:rPr>
          <w:b/>
        </w:rPr>
        <w:t>E. 8.3</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8.4</w:t>
      </w:r>
    </w:p>
    <w:p>
      <w:r>
        <w:t>La date de la décision attaquée marque en principe la limite dans le temps du pouvoir d'examen de l'autorité de recours (ATF 129 V 1 consid. 2.1 et ATF 121 V 362 consid. 1b). La documentation médicale postérieure à cette date ne peut donc être prise en compte que dans la mesure où elle permet une meilleure compréhension de la situation médicale de l'assuré avant la date de la décision attaquée.</w:t>
      </w:r>
    </w:p>
    <w:p>
      <w:r>
        <w:rPr>
          <w:b/>
        </w:rPr>
        <w:t>E. 9.1</w:t>
      </w:r>
    </w:p>
    <w:p>
      <w:r>
        <w:t>En l'espèce, tous les rapports médicaux concordent quant au diagnostic de spondylodiscarthorse cervicale, de myélopathie au niveau de C5-C6 et de spondylarthorse lombaire. En raison de ces problèmes de santé, les Drs D._______ (rapport du 31 janvier 2006; AI pce 16), G._______ (rapport E 213 du 22 avril 2008; AI pce 20) et H._______ (rapport du 22 octobre 2008; AI pce 22) ont unanimement conclu que le recourant ne pouvait plus exercer son ancienne activité dans la construction (revêtement de façades). Les autres médecins ne se sont pas prononcés sur la capacité de travail du recourant. Le Dr G._______ de l'INSS a de surcroît estimé que le recourant pouvait exercer à temps complet un travail adapté, à savoir un travail sédentaire. Le Dr H._______ qui suit entièrement le médecin de l'INSS a précisé qu'il doit s'agir d'une activité corporelle légère qui ménage en particulier le dos, qu'elle doit être exercée en position de travail assise et/ou alternée et être protégée du froid, de la chaleur et de l'humidité. Les Drs G._______ et H._______ ont aussi retenu le diagnostic de trouble de l'adaptation dont souffre l'assuré. En se prononçant sur la capacité de travail résiduelle de A._______, ils ont alors tenu compte de cette plainte. Cette dernière ne joue cependant qu'un rôle mineur; ce sont principalement les problèmes d'arthroses qui limitent la capacité de travail du recourant, l'INSS n'ayant pas retenu le trouble de l'adaptation dans sa proposition de décision (TAF pce 1 annexes). Les certificats médicaux des Dresses I._______ du 29 janvier 2009 (TAF pce 1 annexes) et de la Dresse J._______ du 16 juillet 2009 (TAF pce 9 annexes) n'apportent rien de nouveau à ce sujet. Ces médecins ne se prononcent d'ailleurs pas non plus sur la capacité de travail du recourant. Lors du recours, A._______ invoque pour la première fois souffrir d'une hypertension artérielle qui selon la Dresse I._______ est sans complication (TAF pce 1 annexes) et d'après la Dresse J._______ avec répercussion cardiaque (TAF pce 9 annexes). Ce problème de santé n'est pas documenté par des examens médicaux, il n'est pas établi depuis quand il existe et s'il affecte la capacité de travail de l'assuré; les deux médecins ne se déterminent pas à ces sujets. Partant, les deux certificats médicaux qui ne retiennent qu'un diagnostic, ne présentent pas de valeur probante selon la jurisprudence constante (cf. supra consid. 8.3) et ne seront pas retenus par le Tribunal. Pour toutes ces raisons, le Tribunal est amené à constater qu'il n'y a pas lieu de s'écarter des opinions des Drs G._______ et H._______ qui se basent sur des rapports médicaux détaillés et complets. L'assuré souffre principalement d'arthrose cervicale et lombaire avec radiculopathie, mais il conserve une capacité de travail à plein temps dans des activités de substitution légères, à condition qu'il puisse oeuvrer en position assise et/ou alternée dans un lieu tempéré.</w:t>
      </w:r>
    </w:p>
    <w:p>
      <w:r>
        <w:rPr>
          <w:b/>
        </w:rPr>
        <w:t>E. 10</w:t>
      </w:r>
    </w:p>
    <w:p>
      <w:r>
        <w:t>Il convient encore de déterminer le taux d'invalidité du recourant à savoir sa perte de gain qu'il subirait en exerçant une activité de substitution adaptée.</w:t>
      </w:r>
    </w:p>
    <w:p>
      <w:r>
        <w:rPr>
          <w:b/>
        </w:rPr>
        <w:t>E. 10.1</w:t>
      </w:r>
    </w:p>
    <w:p>
      <w:r>
        <w:t>L'invalidité est évaluée en comparant le revenu que l'assuré aurait pu obtenir s'il n'était pas invalide (revenu sans invalidité) avec le revenu qu'il pourrait obtenir en exerçant une activité qui peut raisonnablement être exigée de lui après les traitements et les mesures de réadaptation, sur un marché de travail équilibré (revenu d'invalide). C'est la méthode ordinaire de comparaison des revenus (art. 16 LPGA en corrélation avec l'art. 28 al. 2 LAI du 1er janvier 2004 jusqu'au 31 décembre 2007). En ce qui concerne la détermination de l'incapacité de gain des travailleurs indépendants, le Tribunal fédéral a établi que l'invalidité doit être évaluée, dans l'activité exercée, d'après l'incidence de la capacité de rendement amoindrie sur la situation économique concrète (ATF 128 V 29 consid. 1). Sur la base de cette méthode, dite extraordinaire, on constate d'abord l'empêchement dû à l'atteinte à la santé, puis on examine les effets de cet empêchement sur la capacité de gain (VSI 2/1998 p. 121; Droit des assurances sociales - Jurisprudence SVR 1996 IV n° 74 consid. 2b). Toutefois, si comme dans le cas d'espèce, l'intéressé a cessé toute activité indépendante, on peut renoncer à l'application de la méthode de calcul extraordinaire, la comparaison des activités exercées avant et après la survenance de l'invalidité n'étant plus possible dans un tel cas (Assurance-maladie et accidents, Jurisprudence et pratique administrative [RAMA] 1995 p. 107). Dans ces cas, la méthode ordinaire de comparaison des revenus est applicable.</w:t>
      </w:r>
    </w:p>
    <w:p>
      <w:r>
        <w:rPr>
          <w:b/>
        </w:rPr>
        <w:t>E. 10.2</w:t>
      </w:r>
    </w:p>
    <w:p>
      <w:r>
        <w:t>La comparaison de revenus doit s'effectuer sur le même marché du travail afin que les revenus soient commensurables (ATF 110 V 273 consid. 4b; arrêt du Tribunal fédéral I 222/05 du 13 octobre 2005 consid. 6.1). S'agissant d'assurés résidant à l'étranger, en raison de la disparité des niveaux de rémunération et des coûts de la vie généralement entre la Suisse et leur pays de résidence, il peut convenir d'effectuer la comparaison des salaires en se référant à des données statistiques. Les rémunérations retenues par les enquêtes suisses sur la structure des salaires (ESS) et publiées par l'Office fédéral de la statistique (OFS) servent alors à fixer aussi bien le revenu d'invalide que le revenu que l'assuré aurait pu obtenir s'il n'était pas devenu invalide.</w:t>
      </w:r>
    </w:p>
    <w:p>
      <w:r>
        <w:rPr>
          <w:b/>
        </w:rPr>
        <w:t>E. 10.3</w:t>
      </w:r>
    </w:p>
    <w:p>
      <w:r>
        <w:t>Dans certains cas, afin de tenir compte des circonstances personnelles et professionnelles du cas particulier (limitations liées au handicap, âge, années de service, nationalité/catégorie d'autorisation de séjour et taux d'occupation) le revenu d'invalide ressortant des statistiques doit être réduit. La hauteur de la réduction relève en premier lieu de l'office AI qui dispose pour cela d'un large pouvoir d'appréciation. La jurisprudence n'admet cependant à ce titre pas de déduction globale supérieure à 25% (ATF 126 V 75 consid. 5). Le juge des assurances sociales ne peut, sans motif pertinent, substituer son appréciation à celle de l'administration (ATF 126 cité consid. 6).</w:t>
      </w:r>
    </w:p>
    <w:p>
      <w:r>
        <w:rPr>
          <w:b/>
        </w:rPr>
        <w:t>E. 11.1</w:t>
      </w:r>
    </w:p>
    <w:p>
      <w:r>
        <w:t>En espèce, l'OAIE a appliqué, conformément à la jurisprudence précitée, la méthode ordinaire de comparaison des revenus et il s'est fondé sur des données statistiques suisses. Cependant il faut effectuer les calculs sur l'année 2007, douze mois après l'apparition des atteintes causant l'invalidité (art. 29 al. 1 let. b LAI; ATF 129 V 222, ATF 128 V 174), et non pas sur l'année 2006 ainsi que l'a fait l'autorité intimée. Les données 2006 doivent donc être indexées d'après les valeurs de l'OFS publiées par la revue "La Vie économique".</w:t>
      </w:r>
    </w:p>
    <w:p>
      <w:r>
        <w:rPr>
          <w:b/>
        </w:rPr>
        <w:t>E. 11.2</w:t>
      </w:r>
    </w:p>
    <w:p>
      <w:r>
        <w:t>Pour fixer le revenu sans invalidité, l'OIAE s'est basé à juste titre sur le salaire d'un employé avec des connaissances professionnelles spécialisées dans la construction (niveau 3). Selon l'ESS 2006, table TA1, niveau 3, il en résulte un salaire mensuel moyen de Fr. 5'422.--. Indexé à 2007 (1.7%), on obtient un revenu sans invalidité de Fr. 5'514.17 pour 40h/sem., respectivement de Fr. 5'749.05 pour 41.7h/sem. (temps de travail hebdomadaire ordinaire dans ce secteur en 2007). Le salaire après invalidité de son côté doit été déterminé, en respectant les limitations fonctionnelles décrites par les Drs G._______ et H._______, sur la base d'activités légères, simples et répétitives, en position assise et/ou alternée, exercées dans un lieu tempéré. L'OAIE a procédé à une moyenne des revenus dans les branches suivantes: services collectifs, commerce de gros, commerce de détail et services fournis aux entreprises. Le Tribunal préfèrera appliquer le revenu moyen pour l'ensemble du domaine des services, car un nombre suffisant d'activités de ce secteur peuvent être exercées par l'intéressé. Il faut donc se référer, pour un homme dans le secteur privé, à la table TA1, niveau 4, secteur 3 (50-93), soit à Fr. 4'384.--. Indexé à 2007 (1.6%), on obtient un revenu de Fr. 4'455.83 pour 40h/sem., respectivement de Fr. 4'645.20 pour 41.7h/sem. Compte tenu des restrictions fonctionnelles du recourant aux activités adaptées, il se justifie d'opérer, à l'instar de l'administration, une réduction de 5%, le revenu d'invalide de A._______ se montant ainsi à Fr 4'412.95.</w:t>
      </w:r>
    </w:p>
    <w:p>
      <w:r>
        <w:rPr>
          <w:b/>
        </w:rPr>
        <w:t>E. 11.3</w:t>
      </w:r>
    </w:p>
    <w:p>
      <w:r>
        <w:t>La comparaison des revenus fait apparaître une perte de gain de 23.25% ([5'749.05 - 4'412.95] x 100 : 5'749.05). Ce taux étant inférieur à 40%, il n'ouvre pas le droit à une invalidité (cf. art. 28 al. 1 LAI dans sa version en vigueur jusqu'au 31 décembre 2007), conformément à ce que l'OAIE a retenu dans sa décision du 12 janvier 2009.</w:t>
      </w:r>
    </w:p>
    <w:p>
      <w:r>
        <w:rPr>
          <w:b/>
        </w:rPr>
        <w:t>E. 12</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Par exemple, l'on peut exiger que l'assuré accepte une activité adaptée à son état de santé afin de réduire sa perte de gain même si cela signifie qu'il doit abandonner son ancienne activité salariée ou indépendante. Il convient également de souligner que ni l'âge, ni la situation familiale ou économique, en particulier un marché de l'emploi local, ni un arrêt prolongé de l'activité professionnelle ne constituent un critère relevant pour l'octroi d'une rente d'invalidité (arrêt du Tribunal administratif fédéral I 175/04 du 28 janvier 2005 consid. 3; Jurisprudence et pratique administrative des autorités d'exécution de l'AVS/AI (VSI) 1999 p. 247 consid. 1, 1998 p. 296 consid. 3b).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La notion du marché équilibré du travail que la définition de l'invalidité implique (cf. art. 16 LPGA) est une notion théorique et abstraite, qui sert de critère de distinction entre les cas tombant sous le coup de l'assurance-chômage et ceux qui relèvent de l'assurance-invalidité (ATF 110 V 273 consid. 4b; VSI 1991 p. 332 consid. 3b; cf. ég. ATF 134 V 64 consid. 4.2.1). Dans le cas concret, le Tribunal ne peut donc pas tenir compte d'un marché de travail restreint en raison de la crise financière actuelle.</w:t>
      </w:r>
    </w:p>
    <w:p>
      <w:r>
        <w:rPr>
          <w:b/>
        </w:rPr>
        <w:t>E. 13</w:t>
      </w:r>
    </w:p>
    <w:p>
      <w:r>
        <w:t>Au vu de ce qui précède, il appert que la décision litigieuse, basée sur un dossier suffisamment instruit, doit être confirmée et le recours du 25 février 2009 rejeté. Celui-ci étant manifestement infondé, il convient de statuer sur le présent litige dans une procédure à juge unique (art. 69 al. 2 LAI et art. 85bis al. 3 de la loi sur l'assurance-vieillesse et survivants, LAVAS, RS 831.10).</w:t>
      </w:r>
    </w:p>
    <w:p>
      <w:r>
        <w:rPr>
          <w:b/>
        </w:rPr>
        <w:t>E. 14</w:t>
      </w:r>
    </w:p>
    <w:p>
      <w:r>
        <w:t>Les frais de procédure, fixés à Fr. 300.--, sont mis à la charge du recourant (art. 63 al. 1 PA, applicable par le truchement de l'art. 37 LTAF). Ils sont compensés par l'avance de frais du même montant dont il s'est acquitté au cours de l'instruction. Vu l'issue du litige, il n'est pas alloué de dépens (art.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