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C-1255/2013 vom 25. Juni 2014</w:t>
      </w:r>
    </w:p>
    <w:p>
      <w:r>
        <w:t>Bundesverwaltungsgericht, 2014-06-25, FR</w:t>
      </w:r>
    </w:p>
    <w:p>
      <w:r>
        <w:rPr>
          <w:b/>
        </w:rPr>
        <w:t xml:space="preserve">Quelle: </w:t>
      </w:r>
      <w:r>
        <w:t>https://mcp.opencaselaw.ch/entscheid/bvger_C-1255_2013</w:t>
      </w:r>
    </w:p>
    <w:p>
      <w:r>
        <w:t>FR: TAF C-1255/2013 du 25 juin 2014</w:t>
      </w:r>
    </w:p>
    <w:p>
      <w:r>
        <w:t>IT: TAF C-1255/2013 del 25 giugno 2014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LTF.</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(art. 50 à 52 PA), le recours est recevable.</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2013/33 consid. 2 et références citées).</w:t>
      </w:r>
    </w:p>
    <w:p>
      <w:r>
        <w:rPr>
          <w:b/>
        </w:rPr>
        <w:t>E. 3.1</w:t>
      </w:r>
    </w:p>
    <w:p>
      <w:r>
        <w:t>Conformément à l'art. 5 al. 1 LEtr (RS 142.20),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3.2</w:t>
      </w:r>
    </w:p>
    <w:p>
      <w:r>
        <w:t>Aux termes de l'art. 2 al. 1 de l'ordonnance du 22 octobre 2008 sur l'entrée et l'octroi de visas (OEV, RS 142.204), les conditions d'entrée pour un séjour n'excédant pas 90 jours ou à des fins de transit sont régies par l'art. 5 du règlement (CE) n° 562/2006 du Parlement européen et du Conseil du 15 mars 2006 établissant un code communautaire relatif au régime de franchissement des frontières par les personnes (code frontières Schengen, JO L 105 du 13 avril 2006, p. 1 à 32). L'art. 5 par. 1 du code frontières Schengen, dont le contenu coïncide largement avec celui de l'art. 5 al. 1 LEtr précité (cf. à ce propos Philipp Egli / Tobias Meyer in : Caroni / Gächter / Thurnherr, Bundesgesetz über die Ausländerinnen und Ausländer, Berne 2010, ad art. 5 LEtr, n° 14), prescrit que pour un séjour n'excédant pas 90 jours sur une période de 180 jours, les conditions d'entrée pour les ressortissants de pays tiers sont les suivantes : être en possession d'un document ou de documents de voyage en cours de validité permettant le franchissement de la frontière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3.3</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4</w:t>
      </w:r>
    </w:p>
    <w:p>
      <w:r>
        <w:t>L'interdiction d'entrée, qui permet d'empêcher l'entrée ou le retour en Suisse (et dans l'Espace Schengen, cf. arrêt du Tribunal administratif fédéral C-2316/2010 du 20 décembre 2011 consid. 3.4) d'un étranger dont le séjour y est indésirable, est réglée à l'art. 67 LEtr. Cette disposition a remplacé l'art. 13 de la loi fédérale du 26 mars 1931 sur le séjour et l'établissement des étrangers (LSEE de 1931,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et arrêt du Tribunal administratif fédéral C-661/2011 du 6 juin 2012 consid. 6 et jurisprudence citée).</w:t>
      </w:r>
    </w:p>
    <w:p>
      <w:r>
        <w:rPr>
          <w:b/>
        </w:rPr>
        <w:t>E. 5.1</w:t>
      </w:r>
    </w:p>
    <w:p>
      <w:r>
        <w:t>Selon l'art. 67 al. 2 LEtr, l'ODM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5.2</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2013/158/EU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 du 15 septembre 2009]; sur ces questions, cf. également arrêts du Tribunal administratif fédéral C-6801/2010 du 1er avril 2011 consid. 4 et C-1667/2010 du 21 mars 2011 consid. 3.3). 5.3.1 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5.3.2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5.3.3 Une interdiction d'entrée peut notamment être prononcée lorsque l'étranger a violé les prescriptions du droit en matière d'étrangers (cf. message précité, FF 2002 3568). Selon la jurisprudence, le fait de séjourner et/ou de travailler en Suisse sans autorisation constitue une violation grave des prescriptions de police des étrangers (cf. notamment arrêts du Tribunal administratif fédéral C-30/2013 du 31 décembre 2013 consid. 4.5 et C-5458/2012 du 23 octobre 2013 consid. 5.3.3, avec jurispr. cit.).</w:t>
      </w:r>
    </w:p>
    <w:p>
      <w:r>
        <w:rPr>
          <w:b/>
        </w:rPr>
        <w:t>E. 5.4</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Andreas Zünd/Ladina Arquint Hill, Beendigung der Anwesenheit, Entfernung und Fernhaltung, in: Uebersax et al. [éd.], Ausländerrecht, 2ème éd., Bâle 2009, ch. 8.80 p. 356). 6.1 En l'occurrence, l'ODM a prononcé à l'encontre de A._______ une décision d'interdiction d'entrée en Suisse d'une durée de trois ans, au motif qu'elle avait sérieusement porté atteinte à la sécurité et à l'ordre publics en séjournant illégalement dans l'Espace Schengen durant plus de trente jours après l'expiration de la durée de son séjour non soumis à autorisation. 6.2 En vertu des normes en vigueur fixant la liste des pays tiers dont les ressortissants sont soumis à l'obligation de visa pour franchir les frontières extérieures des Etats membres et la liste de ceux dont les ressortissants sont exemptés de cette obligation, qui constituent un développement des dispositions de l'acquis de Schengen au sens de l'accord entre l'Union européenne, la Communauté européenne et la Confédération suisse sur l'association de la Confédération suisse à la mise en oeuvre, à l'application et au développement de l'acquis de Schengen, les ressortissants macédoniens sont dispensés de l'obligation de visa pour entrer sur le territoire des États membres pour des séjours ne dépassant pas 90 jours sur une période de 180 jours (cf., sur cette problématique, le site internet de l'ODM: www.bfm.admin.ch.ch Documentation Bases légales Directives et circulaires VII. Visas Séjour jusqu'à 90 jours Annexes du Manuel des visas I et Complément ODM Annexe 1, liste 1: Prescriptions documents de voyage et de visas selon nationalité Macédoine; version du 1er janvier 2014; consulté en juin 2014). 6.3 Le Tribunal constate que, selon les pièces du dossier (soit les copies de son passeport), ainsi que selon ses propres déclarations, A._______ a séjourné en Suisse du 10 avril au 2 juillet 2011, puis du 23 juillet au 6 août 2011, enfin du 21 août au 23 novembre 2011. Le premier séjour ayant duré 84 jours, la recourante ne disposait plus que de 6 jours de séjour autorisés durant la période, entamée le 10 avril 2011, pour laquelle elle était dispensée d'autorisation. Il s'ensuit que pour les périodes du 29 juillet au 6 août 2011, puis du 21 août au 23 novembre 2011 son séjour en Suisse était irrégulier. 6.4 La recourante a expliqué le dépassement de sa durée de séjour autorisé en Suisse par le fait qu'elle y avait donné naissance, le 17 septembre 2011, à l'enfant du couple et qu'elle avait ensuite dû prolonger son séjour dans ce pays, jusqu'à l'établissement de l'acte de naissance de sa fille, puis jusqu'à l'émission d'un passeport en faveur de l'enfant. Ses arguments sont toutefois, pour l'essentiel, dépourvus de pertinence, dès lors que la recourante s'est trouvée en situation illégale en Suisse déjà durant son deuxième séjour dans ce pays, puis durant l'entier de son troisième séjour, soit avant même la naissance de son enfant le 17 septembre 2011. 6.5 Le Tribunal est ainsi amené à conclure que l'interdiction d'entrée prononcée le 13 décembre 2011 en application de l'art. 67 al. 2 let. a LEtr est parfaitement justifiée dans son principe, A._______ ayant bien attenté à la sécurité et à l'ordre publics en raison d'un séjour illégal largement supérieur à 30 jours dans l'Espace Schengen, étant rappelé ici (cf. consid. 5.3.2 supra) qu'aux termes de l'art. 80 al. 1 let. a OASA, il y a notamment atteinte à la sécurité et à l'ordre publics en cas de violation de prescriptions légales ou de décisions d'autorités.</w:t>
      </w:r>
    </w:p>
    <w:p>
      <w:r>
        <w:rPr>
          <w:b/>
        </w:rPr>
        <w:t>E. 7.1</w:t>
      </w:r>
    </w:p>
    <w:p>
      <w:r>
        <w:t>Il convient encore d'examiner si la mesure d'éloignement querellée satisfait aux principes de la proportionnalité et d'égalité de traitement.</w:t>
      </w:r>
    </w:p>
    <w:p>
      <w:r>
        <w:rPr>
          <w:b/>
        </w:rPr>
        <w:t>E. 7.2</w:t>
      </w:r>
    </w:p>
    <w:p>
      <w:r>
        <w:t>Lorsque l'autorité administrative prononce une interdiction d'entrée, elle doit en effet respecter les principes susmentionnés et s'interdire tout arbitraire (cf. André Grisel, Traité de droit administratif, Neuchâtel, 1984, p. 339ss, 348ss, 358ss et 364ss ; Blaise Knapp, Précis de droit administratif, Bâle/Francfort-sur-le-Main 1991, p. 103ss, 113ss et 124ss; cf. consid. 6.6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w:t>
      </w:r>
    </w:p>
    <w:p>
      <w:r>
        <w:rPr>
          <w:b/>
        </w:rPr>
        <w:t>E. 7.3</w:t>
      </w:r>
    </w:p>
    <w:p>
      <w:r>
        <w:t>En l'espèce, il appert que le motif retenu à l'appui de la mesure d'éloignement prise à l'endroit de la recourante (séjour illégal) ne saurait être contesté et que les infractions aux prescriptions de police des étrangers doivent être qualifiées de graves (cf. consid. 6. ci-dessus). Or, compte tenu du nombre élevé de contraventions commises par les étrangers, les autorités sont contraintes d'intervenir avec sévérité afin d'assurer la stricte application des prescriptions édictées dans ce domaine. Tenant compte de l'ensemble des éléments objectifs et subjectifs de la cause, le Tribunal considère que l'interdiction d'entrée en Suisse prise par l'autorité inférieure le 13 décembre 2011 est donc nécessaire et adéquate.</w:t>
      </w:r>
    </w:p>
    <w:p>
      <w:r>
        <w:rPr>
          <w:b/>
        </w:rPr>
        <w:t>E. 7.4</w:t>
      </w:r>
    </w:p>
    <w:p>
      <w:r>
        <w:t>Dans son recours, A._______ s'est référé à un arrêt du Tribunal de céans (arrêt du Tribunal administratif fédéral en la cause C-223/2009) en affirmant que, dans cette cause, le Tribunal avait réduit à une année la durée de l'interdiction d'entrée prononcée à l'endroit d'une ressortissante brésilienne qui avait séjourné illégalement en Suisse durant près d'une année, pour en conclure que la décision prononcée à son endroit le 13 décembre 2011, d'une durée de trois ans, consacrait une violation du principe de l'égalité de traitement. Le Tribunal constate à ce propos que la durée de l'interdiction d'entrée dont il avait eu à juger dans la cause C-223/2009 n'avait pas été réduite à une année comme la recourante l'a faussement prétendu, mais qu'il avait limité les effets de la décision de l'ODM du 27 novembre 2008 au 7 décembre 2010, soit au jour du prononcé de son arrêt. Aussi est-ce en vain que la recourante se prévaut d'une prétendue violation du principe de l'égalité de traitement en relation avec l'arrêt précité.</w:t>
      </w:r>
    </w:p>
    <w:p>
      <w:r>
        <w:rPr>
          <w:b/>
        </w:rPr>
        <w:t>E. 7.5</w:t>
      </w:r>
    </w:p>
    <w:p>
      <w:r>
        <w:t>En considération de l'ensemble des éléments de la cause, le Tribunal arrive toutefois à la conclusion qu'une durée de trois ans pour une interdiction d'entrée motivée uniquement par des séjours illégaux d'une durée totale d'environ trois mois apparaît comme excessive, notamment par rapport aux décisions prises par les autorités dans des cas analogues. Il convient par conséquent de réduire cette durée en vertu des principes de proportionnalité et d'égalité de traitement et de limiter les effets de cette mesure au jour du présent arrêt. 8.Le recours est en conséquence partiellement admis et la décision de l'ODM du 13 décembre 2011 est réformée en ce sens que la durée de l'interdiction d'entrée du 13 décembre 2011 est limitée au jour du présent arrêt. En considération de ce qui précède, le signalement de A._______ dans le SIS, suspendu par le Tribunal le 20 mars 2013 pour la durée de la procédure de recours, doit être supprimé par l'autorité inférieure. 8.1 Compte tenu de l'issue de la cause, il y a lieu de mettre des frais réduits de procédure à la charge de la recourante (art. 63 al. 1 PA en relation avec les art. 1 à 3 du règlement du Tribunal administratif fédéral du 21 février 2008 concernant les frais, dépens et indemnités fixés par le Tribunal administratif fédéral [FITAF, RS 173.320.2]). 8.2 La recourante a par ailleurs droit à des dépens partiels pour les frais nécessaires et relativement élevés causés par le litige (cf. art. 7 FITAF). Au vu de l'ensemble des circonstances du cas, de l'importance de l'affaire, du degré de difficulté de cette dernière, de l'ampleur du travail accompli par la mandataire, le Tribunal estime, au regard des art. 8ss FITAF, que le versement d'un montant de 600 francs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