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C-1252/2012 vom 13. März 2014</w:t>
      </w:r>
    </w:p>
    <w:p>
      <w:r>
        <w:t>Bundesverwaltungsgericht, 2014-03-13, DE</w:t>
      </w:r>
    </w:p>
    <w:p>
      <w:r>
        <w:rPr>
          <w:b/>
        </w:rPr>
        <w:t xml:space="preserve">Quelle: </w:t>
      </w:r>
      <w:r>
        <w:t>https://mcp.opencaselaw.ch/entscheid/bvger_C-1252_2012</w:t>
      </w:r>
    </w:p>
    <w:p>
      <w:r>
        <w:t>FR: TAF C-1252/2012 du 13 mars 2014</w:t>
      </w:r>
    </w:p>
    <w:p>
      <w:r>
        <w:t>IT: TAF C-1252/2012 del 13 marzo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IVG).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1.4.1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1.4.2</w:t>
      </w:r>
    </w:p>
    <w:p>
      <w:r>
        <w:t>Gemäss Art. 48 der Verordnung Nr. 574/72 sind die von den be­teiligten Trägern getroffenen endgültigen Entscheidungen dem be­arbei­ten­den Träger zu übermitteln. Der bearbeitende Träger hat anschliessend die Entscheidungen dem Antragsteller in Form einer in dessen Sprache abgefassten zusammenfassenden Mitteilung zuzustellen und die "Rechts­behelfsfristen" beginnen erst mit der Zustellung der zusammenfassenden Mitteilung an den Antragsteller zu laufen.</w:t>
      </w:r>
    </w:p>
    <w:p>
      <w:r>
        <w:rPr>
          <w:b/>
        </w:rPr>
        <w:t>E. 1.4.3</w:t>
      </w:r>
    </w:p>
    <w:p>
      <w:r>
        <w:t>Der spanische Sozialversicherungsträger hat dem Beschwerdeführer die angefochtene Verfügung am 2. März 2012 im Sinne von Art. 48 der Verordnung Nr. 574/72 zugestellt (act. 33), wodurch schliesslich die Rechtsmittelfrist zu laufen begann. Die Beschwerde wurde bereits am 27. Februar 2012 noch vor der formell korrekten Eröffnung eingereicht und erfolgte somit fristgerecht.</w:t>
      </w:r>
    </w:p>
    <w:p>
      <w:r>
        <w:rPr>
          <w:b/>
        </w:rPr>
        <w:t>E. 1.5</w:t>
      </w:r>
    </w:p>
    <w:p>
      <w:r>
        <w:t>Der mit Zwischenverfügung vom 7. März 2012 einverlangte Verfahrenskostenvorschuss wurde vom Beschwerdeführer am 30. März 2012 fristgerecht geleistet, weshalb auf die im Übrigen formgerecht eingereichte Beschwerde einzutreten ist (vgl. Art. 52 Abs. 1 VwVG und Art. 63 Abs. 4 VwVG).</w:t>
      </w:r>
    </w:p>
    <w:p>
      <w:r>
        <w:rPr>
          <w:b/>
        </w:rPr>
        <w:t>E. 2.1</w:t>
      </w:r>
    </w:p>
    <w:p>
      <w:r>
        <w:t>Nach Art. 40 Abs. 4 der vorliegend anwendbaren Verordnung Nr. 1408/71 (vgl. E. 1.4 ff. hiervor)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3.2.1 hiernach; Urteil des EVG vom 11. De­zember 1981 i.S. D.; BGE 125 V 351 E. 3a).</w:t>
      </w:r>
    </w:p>
    <w:p>
      <w:r>
        <w:rPr>
          <w:b/>
        </w:rPr>
        <w:t>E. 2.2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2.2.1</w:t>
      </w:r>
    </w:p>
    <w:p>
      <w:r>
        <w:t>Rechts- und Sachverhaltsänderungen, die nach dem massgebenden Zeit­punkt des Erlasses der streitigen Verfügung (hier: 30. Januar 2012)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2.2.2</w:t>
      </w:r>
    </w:p>
    <w:p>
      <w:r>
        <w:t>Vorliegend sind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w:t>
      </w:r>
    </w:p>
    <w:p>
      <w:r>
        <w:rPr>
          <w:b/>
        </w:rPr>
        <w:t>E. 2.2.3</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3.4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seit dem Inkrafttreten der 5. IV-Revision per 1. Januar 2008 geltenden Fassung [Mindestbeitragsdauer 3 Jahre]). Diese Bedingungen müssen kumulativ gegeben sein; fehlt eine, so entsteht kein Rentenanspruch, selbst wenn die andere erfüllt ist. Den Akten der Vorinstanz kann entnommen werden, dass der Beschwerdeführer in der Zeitspanne von 1978 bis 1995 mit Unterbrüchen in der Schweiz erwerbstätig war und deshalb während dieser Dauer obligatorisch der schweizerischen Alters-, Hinterlassenen- und Invalidenversicherung unterstellt war (vgl. IV-act. 2 und 19) und somit die gesetzliche Mindestbeitragsdauer ohne Zweifel erfüllt.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4.3.5</w:t>
      </w:r>
    </w:p>
    <w:p>
      <w:r>
        <w:t>Entgegen der Auffassung des Beschwerdeführers ist nicht in jedem Einzelfall zwingend erforderlich,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w:t>
      </w:r>
    </w:p>
    <w:p>
      <w:r>
        <w:t>Im Folgenden ist in Würdigung der relevanten Unterlagen in erster Linie zu beurteilen, ob die Vorinstanz den rechtserheblichen Sachverhalt voll­ständig erhoben und korrekt gewürdigt und das Leistungsbegehren vom 30. Januar 2011 zu Recht mangels anspruchsbegründender Invalidität abgewiesen hat.</w:t>
      </w:r>
    </w:p>
    <w:p>
      <w:r>
        <w:rPr>
          <w:b/>
        </w:rPr>
        <w:t>E. 5.1</w:t>
      </w:r>
    </w:p>
    <w:p>
      <w:r>
        <w:t>Die Vorinstanz hat gestützt auf die Stellungnahmen ihres ärztlichen Dienstes (Dr. med. L._______, Facharzt für allgemeine innere Medizin) vom 6. Juli 2011 sowie vom 24. Januar 2012 eine Arbeitsunfähigkeit des Beschwerdeführers in seinem angestammten Beruf ab Dezember 2010 von 70% festgestellt. Hingegen seien leichte rückenadaptierte Verweisungstätigkeiten zu 100% zumutbar, was nach Durchführung des Einkommensvergleichs zu einer Erwerbsminderung und damit einem Invaliditätsgrad von 18% führe.</w:t>
      </w:r>
    </w:p>
    <w:p>
      <w:r>
        <w:rPr>
          <w:b/>
        </w:rPr>
        <w:t>E. 5.1.1</w:t>
      </w:r>
    </w:p>
    <w:p>
      <w:r>
        <w:t>Insbesondere gestützt auf den Arztbericht E 213 (Dr. med. P._______) vom 24. Februar 2011 führte Dr. med. L._______ in seiner Stellungnahme vom 6. Juli 2011 aus, beim Beschwerdeführer seien bereits seit 1989 rheumatische Beschwerden bekannt, welche auf einen Morbus Bechterew hindeuteten. Nun habe er eine verminderte Beweglichkeit der Wirbelsäule, eine Sakroiliitis sowie eine Monoarthritis. Aufgrund seiner Erwägungen diagnostizierte er einen Morbus Bechterew leichten bis mittelschweren Grades. Hinsichtlich der Arbeitsfähigkeit legte er dar, dass dem Beschwerdeführer bei vorliegendem Morbus Bechterew und den entsprechenden Behinderungen durch die verminderte Beweglichkeit der Wirbelsäule und Gelenke die angestammte Tätigkeit nicht mehr zumutbar sei. Angepasste leichte bis fallweise mittelschwere Verweisungstätigkeiten könnten jedoch vollschichtig ausgeführt werden (vgl. act. 20).</w:t>
      </w:r>
    </w:p>
    <w:p>
      <w:r>
        <w:rPr>
          <w:b/>
        </w:rPr>
        <w:t>E. 5.1.2</w:t>
      </w:r>
    </w:p>
    <w:p>
      <w:r>
        <w:t>Nachdem der Beschwerdeführer im Rahmen des Vorbescheidverfahrens einen Arztbericht von Dr. med. G._______, Facharzt für orthopädische Chirurgie, vom 10. November 2011 eingereicht hatte, nahm Dr. med. L._______ zu diesem Bericht am 24. Januar 2012 Stellung. Er legte dar, dass Dr. med. G._______ nochmals auf den HLA-B27 positiven Morbus Bechterew verweise, die objektiven Befunde jedoch deutlich überzeichne, was den in den Akten enthaltenen Röntgenbefundberichten vom 8. Februar 2001 (recte 2011) widerspreche. Die vorhandene Pathologie habe er voll bewertet und den Beschwerdeführer gleich wie Dr. med. G._______ im angestammten Beruf als arbeitsunfähig bezeichnet. Eine Arbeitsunfähigkeit in leichten Verweisungstätigkeiten könne indes beim vorliegenden Krankheitsbild nicht begründet werden.</w:t>
      </w:r>
    </w:p>
    <w:p>
      <w:r>
        <w:rPr>
          <w:b/>
        </w:rPr>
        <w:t>E. 5.2</w:t>
      </w:r>
    </w:p>
    <w:p>
      <w:r>
        <w:t>Der Beschwerdeführer beanstandet im Wesentlichen, Dr. med. L._______ habe nicht sämtliche Leiden berücksichtigt. Dem ist entgegenzuhalten, dass sich der Arzt der Vorinstanz auf die schlüssigen und nachvollziehbaren medizinischen Unterlagen des spanischen Sozialversicherungsträgers, insbesondere auf den Formularbericht E 213 vom 24. Februar 2011 sowie auf den Röntgenbefundbericht vom 8. Februar 2011, stützen konnte (vgl. act. 4 -7). Dabei kam er in Übereinstimmung mit der spanischen Vertrauensärztin Dr. med. P._______, die den Beschwerdeführer persönlich untersucht hatte, zum Schluss, dass der Beschwerdeführer hauptsächlich an einem Morbus Bechterew leide.</w:t>
      </w:r>
    </w:p>
    <w:p>
      <w:r>
        <w:rPr>
          <w:b/>
        </w:rPr>
        <w:t>E. 5.2.1</w:t>
      </w:r>
    </w:p>
    <w:p>
      <w:r>
        <w:t>Hinsichtlich der Einschätzung betreffend die Arbeitsunfähigkeit im angestammten Beruf sind die Aussagen von Dr. med. L._______ zwar etwas widersprüchlich, da er zunächst eine 70%ige Einschränkung festhält, bei der Beurteilung des Falles indes - diesmal in Einklang mit der spanischen Vertrauensärztin Dr. med. P._______ - ausführt, dem Beschwerdeführer sei die Tätigkeit als Färber nicht mehr zuzumuten. Dies bekräftigt er in seiner zweiten Stellungnahme vom 24. Januar 2012 (vgl. act. 4 Ziffer 11.4, 20 sowie 31). Doch ist diese Unstimmigkeit vorliegend ohnehin ohne Belang, da beide Ärzte in Bezug auf die Leistungsfähigkeit in einer leichten Verweisungstätigkeit eine übereinstimmende Meinung vertreten, wonach dem Beschwerdeführer leichtere rückenadaptierte Verweisungstätigkeiten zu 100% zugemutet werden können (vgl. act. 4 Ziffer 11.5 f. sowie 20 und 31). Dr. med. G._______ hingegen beurteilt nicht, inwiefern der Beschwerdeführer unter Berücksichtigung seiner gesundheitsbedingten Einschränkungen in Verweisungstätigkeiten noch leistungsfähig ist, sondern äussert sich lediglich zur Arbeitsfähigkeit im angestammten Beruf, der - wie soeben dargelegt - zweifelsfrei nicht mehr zumutbar ist.</w:t>
      </w:r>
    </w:p>
    <w:p>
      <w:r>
        <w:rPr>
          <w:b/>
        </w:rPr>
        <w:t>E. 5.2.2</w:t>
      </w:r>
    </w:p>
    <w:p>
      <w:r>
        <w:t>Entsprechend der dargestellten Praxis ist der Bericht von Dr. med. G._______ aufgrund der auftragsrechtlichen Vertrauensstellung gegenüber dem Beschwerdeführer überdies mit Vorbehalt zu würdigen (vgl. E. 4.3.3 hiervor; Urteil des Bundesgerichts 9C_24/2008 vom 27. Mai 2008 E. 2.3.2, BGE 125 V 351 E. 3b/cc). So weist Dr. med. L._______ in seiner Stellungnahme vom 24. Januar 2012 zu Recht daraufhin, dass Dr. med. G._______ die objektiven Befunde des Beschwerdeführers deutlich überzeichnet, ist doch weder im Röntgenbefundbericht vom 8. Februar 2011 noch im Formularbericht E 213 vom 24. Februar 2011 von einer schweren Kyphose die Rede. Es wurde lediglich ein leichter Anstieg der Kyphose festgestellt (vgl. act. 4 Ziffer 5.4.1 und 7). Was die erstmals von Dr. med. G._______ diagnostizierte reaktive Angststörung mit miofaszialen Gesichtsschmerzen und Schlafstörungen anbelangt, ist nicht nachvollziehbar, wie der spanische Arzt zu dieser fachfremden Diagnose gelangt. In seinen Ausführungen wird kein Bezug zu psychischen Störungen hergestellt und er begründet diese Diagnose auch in keiner Weise.</w:t>
      </w:r>
    </w:p>
    <w:p>
      <w:r>
        <w:rPr>
          <w:b/>
        </w:rPr>
        <w:t>E. 5.2.3</w:t>
      </w:r>
    </w:p>
    <w:p>
      <w:r>
        <w:t>Schliesslich kann der Fachliteratur entnommen werden, dass die bechterewsche Krankheit eine chronisch entzündlich-rheumatische Erkrankung des Achsenskeletts (Wirbelsäule, Iliosakralgelenke, Schambeinfugen, kleine Wirbelgelenke), der Extremitätengelenke und Sehnenansätze ist. Sie beginnt meistens mit einer Sakroiliitis mit morgendlicher Steifigkeit und nächtlichen Schmerzen im Bereich der Lendenwirbelsäule, oft auch mit Arthritis in den Gelenken (vgl. zum Ganzen mit weiteren Hinweisen Pschyrembel, Klinisches Wörterbuch, 2013, 264. Überarbeitete Auflage, unter dem Stichwort "Spondylitis ankylosans", S. 1972 f.). Des Weiteren hat Dr. med. P._______, und in der Folge Dr. med. L._______, die Zervikalgie- und Lumbalbeschwerden wie auch die Extremitätengelenke in ihre Beurteilung mit einbezogen (vgl. act. 4 Ziff. 8, 4.8.2 f. sowie 11). Eine spätere Verschlechterung wird nicht geltend gemacht. Damit erhellt, dass die von Dr. med. G._______ als separate Diagnose gestellte Polyarthritis sowie die vom Beschwerdeführer mit Beschwerde vom 27. Februar 2012 erwähnten Zervikalgien und Lumbalgien bzw. allgemeinen degenerativen Veränderungen der Wirbelsäule, sollten sie nicht im Zusammenhang mit der bechterewschen Krankheit zu sehen sein, jedenfalls bei der Beurteilung der Arbeitsfähigkeit in einer leidensangepassten Tätigkeit berücksichtigt worden sind.</w:t>
      </w:r>
    </w:p>
    <w:p>
      <w:r>
        <w:rPr>
          <w:b/>
        </w:rPr>
        <w:t>E. 5.2.4</w:t>
      </w:r>
    </w:p>
    <w:p>
      <w:r>
        <w:t>Der Bericht von Dr. med. G._______ genügt zudem nicht den Anforderungen an ein voll beweistaugliches medizinisches Gutachten, ist er doch äusserst knapp und wenig fundiert begründet. Insbesondere thematisiert er nicht die Widersprüche zum Formularbericht E 213 vom 24. Februar 2011 sowie zum Röntgenbefundbericht vom 8. Februar 2011 (vgl. E. 5.2.1 ff.), weshalb sich der Bericht als nicht genügend nachvollziehbar erweist. Er ist deshalb nicht geeignet, die Beurteilungen von Dr. med. P._______ sowie von Dr. med. L._______ in Frage zu stellen.</w:t>
      </w:r>
    </w:p>
    <w:p>
      <w:r>
        <w:rPr>
          <w:b/>
        </w:rPr>
        <w:t>E. 5.3</w:t>
      </w:r>
    </w:p>
    <w:p>
      <w:r>
        <w:t>Angesichts der vorgenannten Erwägungen stand der medizinische Sachverhalt im Zeitpunkt der Stellungnahme von Dr. med. L._______ fest, weshalb nicht zu beanstanden ist, dass er keine eigenen Untersuchungen durchgeführt hat (vgl. E. 4.3.5 hiervor). Dr. med. L._______ Beurteilung erfolgte zudem in Kenntnis der Anamnese sowie unter Berücksichtigung der von den spanischen Ärzten gestellten Diagnosen. Die Beurteilung der medizinischen Situation sowie die Einschätzung der Restarbeitsfähigkeit sind ferner nachvollziehbar und schlüssig.</w:t>
      </w:r>
    </w:p>
    <w:p>
      <w:r>
        <w:rPr>
          <w:b/>
        </w:rPr>
        <w:t>E. 6</w:t>
      </w:r>
    </w:p>
    <w:p>
      <w:r>
        <w:t>Vor diesem Hintergrund bleibt noch der von IVSTA durchgeführte Einkommensvergleich zu überprüfen.</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6.1.1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6.1.2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6.2</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welches der Versicherte vor dem Eintritt der Invalidität über längere Zeit im Ausland erzielt hat, nicht etwa das in der Schweiz erzielbare hypothetische Invalideneinkommen beizuziehen, sondern ein Invalideneinkommen zu ermitteln, das der Versicherte auf dem örtlichen ausländischen Arbeitsmarkt erzielen könnte. Eine Bestimmung des Invalideneinkommens aufgrund der schweizerischen Tabellenlöhne kommt nur dann in Betracht, wenn auch auf ein Valideneinkommen in der Schweiz abgestellt wird, das - mangels tatsächlichem Einkommen in der Schweiz - auch aufgrund der schweizerischen Tabellenlöhne zu bestimmen ist.</w:t>
      </w:r>
    </w:p>
    <w:p>
      <w:r>
        <w:rPr>
          <w:b/>
        </w:rPr>
        <w:t>E. 6.3</w:t>
      </w:r>
    </w:p>
    <w:p>
      <w:r>
        <w:t>Der Beschwerdeführer, der über keine Berufsbildung verfügt (vgl. act. 10), übte seine letzte Erwerbstätigkeit in einer chemischen Reinigung als Färber aus und war seit seiner Entlassung am 22. Februar 2010 nicht mehr erwerbstätig (vgl. act. 4 sowie 10 f.). Da der Einkommensvergleich auf einem vergleichbaren örtlichen Arbeitsmarkt zu erfolgen hat und keine statistischen Zahlen betreffend die spanischen Einkommensverhältnisse vorliegen, hat die Vorinstanz für die Bestimmung des hypothetischen Validen- und Invalideneinkommens zu Recht auf die schweizerischen Tabellenlöhne (LSE) abgestellt (vgl. E. 6.2 hiervor). Dennoch ist das von der Vorinstanz ermittelte Valideneinkommen zu korrigieren. Zum einen ist nicht ersichtlich, weshalb die Vorinstanz zur Ermittlung des Valideneinkommens auf den Durchschnittslohn für Männer in den Branchen Informatik/Dienstleistungen für Unternehmen im Anforderungsniveau 4 abgestellt hat (vgl. act. 23), weist sie doch selbst in der Duplik vom 18. Juli 2012 darauf hin, dass gemäss der Nomenklatur der allgemeinen Systematik der Wirtschaftszweige (NOGA 2008) Wäschereien und Textilreinigungen unter persönliche Dienstleistungen (Code 96) zu klassifizieren sind (vgl. Suchbegriff "Wäscherei" bei der Suchmaschine betr. die Kodierung, abrufbar unter http://www.kubb2008.bfs.admin.ch/?lang=de, zuletzt besucht am 28. Januar 2014).</w:t>
      </w:r>
    </w:p>
    <w:p>
      <w:r>
        <w:rPr>
          <w:b/>
        </w:rPr>
        <w:t>E. 6.3.1</w:t>
      </w:r>
    </w:p>
    <w:p>
      <w:r>
        <w:t>Des Weiteren hat Dr. med. L._______ festgehalten, dass aufgrund der aktenkundigen medizinischen Angaben eine Arbeitsunfähigkeit erst ab dem 23. Dezember 2010 attestiert werden könne, so dass ein Rentenanspruch nach Ablauf des obligaten Wartejahres frühestens am 23. Dezember 2011 hätte entstehen können. Demnach hätte die Vorinstanz das Valideneinkommen auf das Jahr 2011 indexieren müssen. Dies ist im Folgenden zu korrigieren.</w:t>
      </w:r>
    </w:p>
    <w:p>
      <w:r>
        <w:rPr>
          <w:b/>
        </w:rPr>
        <w:t>E. 6.3.2</w:t>
      </w:r>
    </w:p>
    <w:p>
      <w:r>
        <w:t>Vorliegend sind die LSE 2010 heranzuziehen und das Monatsgehalt von Fr. 4'256.- (sonstige persönliche Dienstleistungen, Männer, Anforderungsniveau 4, vgl. E. 6.3 hiervor) ist der Nominallohnentwicklung für das Jahr 2011 anzupassen, was zu einem Einkommen von Fr. 4'295.57 führt (Nominallohnindex, Männer, Basis 1939 = 100, 2010 = 2'151, 2011 = 2'171 [4'256 x 2'171] : 2'151= 4'295.57). Wird das Einkommen an die im Jahre 2011 entsprechende durchschnittliche Wochenarbeitszeit von 42 Stunden (vgl. Die Volkswirtschaft, Tabelle B 9.2, Sektor S) angepasst, ergibt dies einen Betrag von Fr. 4'510.35 ([4'295.57 x 42] : 40 = 4'510.35), was einem geringeren hypothetischen Valideneinkommen entspricht als es die Vorinstanz ermittelt hat.</w:t>
      </w:r>
    </w:p>
    <w:p>
      <w:r>
        <w:rPr>
          <w:b/>
        </w:rPr>
        <w:t>E. 6.4</w:t>
      </w:r>
    </w:p>
    <w:p>
      <w:r>
        <w:t>Hinsichtlich der Ermittlung des hypothetischen Invalideneinkommens ist festzuhalten, dass rechtsprechungsgemäss in der Regel die Monatslöhne gemäss LSE-Tabelle TA1, Zeile "Total Privater Sektor" anzuwenden sind (nicht publizierte E. 5.1 von BGE 133 V 545 [9C_237/2007]). Die Vorinstanz ist von dieser Regel abgewichen, indem sie auf den Durchschnittswert der Branchen "Herstellen von Lederwaren und Schuhen", "sonstige öffentliche und persönliche Dienstleistungen" sowie "Grosshandel/Handelsvermittlung" abgestellt, diesen an die durchschnittliche wöchentliche Arbeitszeit von 41.6 Stunden angepasst und schliesslich einen - in dieser Höhe nicht zu beanstandenden - leidensbedingten Abzug von 15% vorgenommen hat. Im Ergebnis ermittelte sie so ein hypothetisches Invalideneinkommen in der Höhe von Fr. 3'899.32. Eine Anpassung an die Nominallohnentwicklung bis 2011 erfolgte auch bei der Ermittlung des Invalideneinkommens nicht.</w:t>
      </w:r>
    </w:p>
    <w:p>
      <w:r>
        <w:rPr>
          <w:b/>
        </w:rPr>
        <w:t>E. 6.4.1</w:t>
      </w:r>
    </w:p>
    <w:p>
      <w:r>
        <w:t>Dies ist indes unerheblich, führt doch das soeben ermittelte Valideneinkommen aufgrund des in Erwägung 6.1.2 in fine Dargelegten ohnehin zu einer geringeren Erwerbseinbusse, als dies von der Vorinstanz festgestellt wurde. Daher kann auch die Frage offen gelassen werden, ob die Vorinstanz zur Ermittlung des Invalideneinkommens zu Recht von der zuvor genannten Regel (vgl. E. 6.4 hiervor) abgewichen ist, ist doch der Betrag für Männer in der Zeile "Total Privater Sektor" deutlich höher als der Durchschnittswert der von der Vorinstanz herangezogenen Branchen (vgl. act. 23 sowie LSE 2010, Tabelle TA1). Da die Erwerbseinbusse noch geringer ausfallen würde, erübrigt sich daher auch eine genaue Ermittlung des hypothetischen Invalideneinkommens. Aufgrund der Erwägungen bleibt es bei einem rentenausschliessenden Invaliditätsgrad.</w:t>
      </w:r>
    </w:p>
    <w:p>
      <w:r>
        <w:rPr>
          <w:b/>
        </w:rPr>
        <w:t>E. 7</w:t>
      </w:r>
    </w:p>
    <w:p>
      <w:r>
        <w:t>Zusammenfassend ist festzuhalten, dass die Vorinstanz im Ergebnis zu Recht das Leistungsgesuch des Beschwerdeführers abgewiesen hat. Die Beschwerde ist daher abzuweisen.</w:t>
      </w:r>
    </w:p>
    <w:p>
      <w:r>
        <w:rPr>
          <w:b/>
        </w:rPr>
        <w:t>E. 8</w:t>
      </w:r>
    </w:p>
    <w:p>
      <w:r>
        <w:t>Zu befinden bleibt noch über die Verfahrenskosten und eine allfällige Parteientschädigung.</w:t>
      </w:r>
    </w:p>
    <w:p>
      <w:r>
        <w:rPr>
          <w:b/>
        </w:rPr>
        <w:t>E. 8.1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410.- festgesetzt (vgl. Art. 63 Abs. 4bis VwVG sowie Art. 1, 2 und 4 des Reglements vom 21. Februar 2008 über die Kosten und Entschädigungen vor dem Bundesverwaltungsgericht [VGKE, SR 173.320.2]) und mit dem bereits geleisteten Kostenvorschuss von Fr. 410.- verrechnet.</w:t>
      </w:r>
    </w:p>
    <w:p>
      <w:r>
        <w:rPr>
          <w:b/>
        </w:rPr>
        <w:t>E. 8.2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