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C-1240/2007 vom 4. Januar 2010</w:t>
      </w:r>
    </w:p>
    <w:p>
      <w:r>
        <w:t>Bundesverwaltungsgericht, 2010-01-04, DE</w:t>
      </w:r>
    </w:p>
    <w:p>
      <w:r>
        <w:rPr>
          <w:b/>
        </w:rPr>
        <w:t xml:space="preserve">Quelle: </w:t>
      </w:r>
      <w:r>
        <w:t>https://mcp.opencaselaw.ch/entscheid/bvger_C-1240_2007</w:t>
      </w:r>
    </w:p>
    <w:p>
      <w:r>
        <w:t>FR: TAF C-1240/2007 du 4 janvier 2010</w:t>
      </w:r>
    </w:p>
    <w:p>
      <w:r>
        <w:t>IT: TAF C-1240/2007 del 4 gennaio 2010</w:t>
      </w:r>
    </w:p>
    <w:p>
      <w:pPr>
        <w:pStyle w:val="Heading2"/>
      </w:pPr>
      <w:r>
        <w:t>Regeste</w:t>
      </w:r>
    </w:p>
    <w:p>
      <w:r>
        <w:t>Invalidenversicherung (IV)","Invaliditätsbemessung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vom 19. Juni 1959 über die Invalidenversicherung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der Einspracheentscheid der IV-Stelle für Versicherte im Ausland vom 17. Januar 2007. Der Beschwerdeführer hat frist- und formgerecht (Art. 60 ATSG) Beschwerde erhoben. Durch die Verfügung ist er besonders berührt und hat ein schutzwürdiges Interesse an deren Änderung oder Aufhebung (Art. 59 ATSG).</w:t>
      </w:r>
    </w:p>
    <w:p>
      <w:r>
        <w:rPr>
          <w:b/>
        </w:rPr>
        <w:t>E. 1.4</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Hans Urech und Richter David Aschmann der Abteilung II und Richter Stefan Mesmer der Abteilung III.</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Gemäss Art. 40 Abs. 2 der Verordnung vom 17. Januar 1961 über die Invalidenversicherung (IVV, SR 831.201) ist bei Grenzgängern die IV-Stelle, in deren Tätigkeitsgebiet die Grenzgängerin oder der Grenzgänger eine Erwerbstätigkeit ausübt, zur Entgegennahme und Prüfung der Anmeldung zuständig. Die Verfügungen werden von der IVSTA erlassen. Da der Beschwerdeführer bei Eintritt des geltend gemachten Gesundheitsschadens als Grenzgänger im Tätigkeitsgebiet der IV-Stelle Basel-Stadt gearbeitet hatte, war diese für die Entgegennahme und Prüfung der Anmeldung zuständig. Die Verfügungen wurden hingegen zu Recht von der IVSTA erlassen.</w:t>
      </w:r>
    </w:p>
    <w:p>
      <w:r>
        <w:rPr>
          <w:b/>
        </w:rPr>
        <w:t>E. 3</w:t>
      </w:r>
    </w:p>
    <w:p>
      <w:r>
        <w:t>Der Beschwerdeführer ist Staatsangehöriger eines Mitgliedstaates der Europäischen Union,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insbesondere dessen Anhang II, der die Koordinierung der Systeme der sozialen Sicherheit regelt, anwendbar ist (vgl. Art. 80a IVG, in Kraft seit dem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IVV.</w:t>
      </w:r>
    </w:p>
    <w:p>
      <w:r>
        <w:rPr>
          <w:b/>
        </w:rPr>
        <w:t>E. 4.1</w:t>
      </w:r>
    </w:p>
    <w:p>
      <w:r>
        <w:t>Zu prüfen ist, ob der Beschwerdeführer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in der Regel auf den bis zum Zeitpunkt des Erlasses des angefochtenen Verwaltungsaktes (hier: 17. Januar 2007) eingetretenen Sachverhalt abgestellt wird (BGE 132 V 2 E. 1, 129 V 4 E. 1.2 mit Hinweisen), sind im vorliegenden Fall die auf den 1. Januar 2004 in Kraft getretenen Bestimmungen der 4. IV-Revision anwendbar, nicht aber diejenigen der 5. IV-Revision.</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angestammten Methode des Einkommensvergleichs vorzunehmen ist (BGE 129 V 224 E. 4.3, 131 V 53 E. 5.1.2).</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bei einem Invaliditätsgrad von mindestens 70 %, derjenige auf eine Dreiviertelsrente bei einem solchen von mindestens 60 %, derjenige auf eine halbe Rente ab einem Grad der Invalidität von 50 % und derjenige auf eine Viertelsrente ab einem solchen von 40 %. Gemäss Abs. 1ter dieser Norm werden Renten, die einem Invaliditätsgrad von weniger als 50 % entsprechen, jedoch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 bleibend erwerbsunfähig bzw. bleibend invalid (vgl. THOMAS LOCHER, Grundriss des Sozialversicherungsrechts, Bern 2003, §52 N13) geworden ist (Bst. a: Dauerinvalidität) oder während eines Jahres ohne wesentlichen Unterbruch zu mindestens 40 % arbeitsunfähig gewesen war (Bst. b: langdauernde Krankheit). Für die Annahme bleibender Invalidität im Sinne von Art. 29 Abs. 1 Bst. a IVG und Art. 29 IVV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6.1</w:t>
      </w:r>
    </w:p>
    <w:p>
      <w:r>
        <w:t>Den Akten ist zu entnehmen, dass der Beschwerdeführer im Wesentlichen an einer Erkrankung des Stütz- und Bewegungsapparates sowie an einer Funktionsstörung der Lendenwirbelsäule, wobei sich seine Schmerzen nicht vollständig auf körperliche Erkrankungen zurückführen lassen, sowie an einer leichten depressiven Verstimmung und Zwangsstörung leidet. Dabei handelt es sich um ein labiles pathologisches Geschehen, so dass ein allfälliger Rentenanspruch erst nach der gesetzlichen Wartezeit von einem Jahr entstehen kann (Art. 29 Abs. 1 Bst. b IVG in der bis zum 31. Dezember 2007 gültigen Fassung).</w:t>
      </w:r>
    </w:p>
    <w:p>
      <w:r>
        <w:rPr>
          <w:b/>
        </w:rPr>
        <w:t>E. 6.2</w:t>
      </w:r>
    </w:p>
    <w:p>
      <w:r>
        <w:t>Hinsichtlich des Einflusses dieser Leiden auf die Arbeitsfähigkeit ging die Vorinstanz gestützt auf die medizinischen Akten davon aus, dass ihm die Ausübung seiner angestammten Arbeit als Bauleiter nicht mehr möglich sei. Aus ärztlicher Sicht seien ihm hingegen alternative adaptierte rückenschonende Tätigkeiten zu 70% zumutbar. Möglich sei beispielsweise eine adaptierte Beschäftigung als Fachperson in einem Baumarkt.</w:t>
      </w:r>
    </w:p>
    <w:p>
      <w:r>
        <w:rPr>
          <w:b/>
        </w:rPr>
        <w:t>E. 6.3</w:t>
      </w:r>
    </w:p>
    <w:p>
      <w:r>
        <w:t>Der Beschwerdeführer machte geltend, dass bei ihm ein Invaliditätsgrad von mindestens 70% vorliege. Zur Begründung brachte er vor, dass er in Deutschland eine Rente wegen voller Erwerbsminderung und in Frankreich eine Invalidenrente 2. Grades erhalte und verwies auf die Arztberichte der Amtsärztin Dr. C._______ vom 29. September 2004 sowie der Vertrauensärztin Dr. F._______ vom 23. März 2004. Dagegen verletze die Auffassung, wonach für die schweizerische Invalidenversicherung die in der Schweiz erhobenen Befunde massgeblich seien, den Grundsatz der freien Beweiswürdigung. Ausserdem könne auf die Berichte von Dres. med. Z._______, I._______ und A._______ schon deshalb nicht abgestellt werden, da diese im Zeitpunkt der Verfügung vom 26. Mai 2005 bereits eineinhalbjährig gewesen sein sollen. Im Übrigen sei der Validenlohn falsch berechnet worden, gelte es doch die im Jahre 2001 erhaltene "Ferien- und Überzeitentschädigung" von Fr. 10'000.- sowie die Auszahlung von 19 Ferientagen von Fr. 6'006.60 anzurechnen, weshalb von einem Valideneinkommen von Fr. 106'941.60 auszugehen sei.</w:t>
      </w:r>
    </w:p>
    <w:p>
      <w:r>
        <w:rPr>
          <w:b/>
        </w:rPr>
        <w:t>E. 6.4</w:t>
      </w:r>
    </w:p>
    <w:p>
      <w:r>
        <w:t>Der Beschwerdeführer ist der Ansicht, die Vorinstanz habe die ausländischen Arztberichte beim angefochtenen Entscheid zu wenig berücksichtigt. Damit rügte er die von der Vorinstanz vorgenommene Beweiswürdigung.</w:t>
      </w:r>
    </w:p>
    <w:p>
      <w:r>
        <w:rPr>
          <w:b/>
        </w:rPr>
        <w:t>E. 6.4.1</w:t>
      </w:r>
    </w:p>
    <w:p>
      <w:r>
        <w:t>Die Verwaltung und im Beschwerdefall das Gericht haben die medizinischen Unterlagen - wie alle anderen Beweismittel - nach dem Grundsatz der freien Beweiswürdigung frei, d.h. ohne Bindung an förmliche Beweisregeln, sowie umfassend und pflichtgemäss zu würdigen (BGE 132 V 393 E. 2.1; Alfred Maurer/Gustavo Scartazzini/Marc Hürzeler, Bundessozialversicherungsrecht, 3. Aufl., Basel 2009, § 21 Rz. 7). Dies bedeutet für das Gericht, dass es alle Beweismittel, unabhängig, von wem sie stammen, objektiv zu prüfen und danach zu entscheiden hat, ob die verfügbaren Unterlagen eine zuverlässige Beurteilung des streitigen Rechtsanspruchs gestatten. Insbesondere darf bei einander widersprechenden medizinischen Berichten der Prozess nicht erledigt werden, ohne das gesamte Beweismaterial zu würdigen und die Gründe anzugeben, warum auf die eine und nicht auf die andere medizinische These abzustellen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vgl. hierzu Ueli Kieser, Schweizerisches Sozialversicherungsrecht, Zürich/St. Gallen 2008, S. 434 f., Rz. 19).</w:t>
      </w:r>
    </w:p>
    <w:p>
      <w:r>
        <w:rPr>
          <w:b/>
        </w:rPr>
        <w:t>E. 6.4.2</w:t>
      </w:r>
    </w:p>
    <w:p>
      <w:r>
        <w:t>Gleichwohl erachtet es die Rechtsprechung mit dem Grundsatz der freien Beweiswürdigung als vereinbar, Richtlinien für die Beweiswürdigung in Bezug auf bestimmte Formen medizinischer Berichte und Gutachten aufzustellen (vgl. hierzu BGE 125 V 351 E. 3b; Urteil des Eidgenössischen Versicherungsgerichts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Eidgenössischen Versicherungsgerichts I 655/05 vom 20. März 2006 E. 5.4 mit Hinweisen). Bei der Abschätzung des Beweiswerts im Rahmen einer freien und umfassenden Beweiswürdigung dürfen allerdings auch die potenziellen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vom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9C_24/2008 vom 27. Mai 2008 E. 2.3.2 mit Hinweisen, publiziert in: Plädoyer 3/2009, S. 72 ff.).</w:t>
      </w:r>
    </w:p>
    <w:p>
      <w:r>
        <w:rPr>
          <w:b/>
        </w:rPr>
        <w:t>E. 6.4.3</w:t>
      </w:r>
    </w:p>
    <w:p>
      <w:r>
        <w:t>Im Sozialversicherungsrecht haben Verwaltung und Gericht ihren Entscheid, sofern das Gesetz nicht etwas Abweichendes vorsieht, nach dem Beweisgrad der überwiegenden Wahrscheinlichkeit zu fällen. Die blosse Möglichkeit eines bestimmten Sachverhalts genügt diesen Beweisanforderungen nicht. Vielmehr ist jener Sachverhaltsdarstellung zu folgen, die von allen möglichen Geschehensabläufen als die wahrscheinlichste gewürdigt wird (BGE 129 V 222 E. 4.3.1, BGE 128 V 66 E. 5c, BGE 126 V 353 E. 5b; Maurer/Scartazzini/ Hürzeler, a.a.O., § 21 Rz. 8; Kieser, a.a.O., S. 433, Rz. 17).</w:t>
      </w:r>
    </w:p>
    <w:p>
      <w:r>
        <w:rPr>
          <w:b/>
        </w:rPr>
        <w:t>E. 6.4.4</w:t>
      </w:r>
    </w:p>
    <w:p>
      <w:r>
        <w:t>Das von der Vorinstanz eingeholte Gutachten von Dr. med. Z._______ ist sehr umfassend. Es erfolgte in Kenntnis der Vorgeschichte sowie der von den behandelnden Ärztinnen Dr. W._______ am 18. März 2003 und Dr. H._______ am 9. April 2003 ausgefüllten medizinischen Fragebögen. Ausserdem wurden der Psychiater Dr. med. A._______, der Rheumatologe Dr. med. I._______ sowie der Kardiologe Dr. med. B._______ beigezogen und jeweils ein spezialärztliches Untergutachten veranlasst. Es sind keine Indizien ersichtlich, welche der gewissenhaft durchgeführten Expertise die Beweiskraft absprechen könnten. Insbesondere handelt es sich bei den vom Beschwerdeführer ins Recht gelegten Berichten der Vertrauensärztin Dr. F._______ vom 23. März 2004 sowie der Amtsärztin Dr. C._______ vom 29. September 2004 lediglich um medizinische Fragebögen, wobei sich den Ausführungen von Dr. F._______ keine Begründung für den angeblichen Invaliditätsgrad von zwei Dritteln zu entnehmen lässt. Dagegen entsprechen die von Dr. C._______ bescheinigten fünf Stunden zumutbarer täglicher Arbeit einer Arbeitsfähigkeit von knapp 60% und weichen somit nicht weit von den Einschätzungen der durch die IV-Stelle Basel-Stadt beauftragten Fachärzte ab. Im Übrigen sei darauf hingewiesen, dass für die Invaliditätsbemessung mangels abweichender gemeinschafts- bzw. abkommensrechtlicher Regelung allein die schweizerischen Rechtsnormen massgebend sind. Gemäss konstanter Rechtsprechung sind die schweizerischen Behörden an die Beurteilung ausländischer Versicherungsträger, Krankenkassen, anderer Behörden und Ärzte nicht gebunden (vgl. ZAK 1989 S. 320 E. 2).</w:t>
      </w:r>
    </w:p>
    <w:p>
      <w:r>
        <w:rPr>
          <w:b/>
        </w:rPr>
        <w:t>E. 6.5</w:t>
      </w:r>
    </w:p>
    <w:p>
      <w:r>
        <w:t>Der Beschwerdeführer rügte weiter, dass auf die Expertise von Dr. med. Z._______ und die dazugehörigen Untergutachten nicht abgestellt werden könne, da diese im Zeitpunkt der Verfügung der Vorinstanz vom 26. Mai 2005 bereits eineinhalb Jahre alt gewesen seien.</w:t>
      </w:r>
    </w:p>
    <w:p>
      <w:r>
        <w:rPr>
          <w:b/>
        </w:rPr>
        <w:t>E. 6.5.1</w:t>
      </w:r>
    </w:p>
    <w:p>
      <w:r>
        <w:t>Das Bundesrecht schreibt nicht vor, wie die einzelnen Beweismittel zu würdigen sind. Für das gesamte Verwaltungs- und Verwaltungsgerichtsbeschwerdeverfahren gilt der Grundsatz der freien Beweiswürdigung. Danach haben Versicherungsträger und Sozialversicherungsrichter die Beweise frei, d.h. ohne Bindung an förmliche Beweisregeln, sowie umfassend und pflichtgemäss zu würdigen (BGE 125 V 351 E. 3a).</w:t>
      </w:r>
    </w:p>
    <w:p>
      <w:r>
        <w:rPr>
          <w:b/>
        </w:rPr>
        <w:t>E. 6.5.2</w:t>
      </w:r>
    </w:p>
    <w:p>
      <w:r>
        <w:t>Die Aussagekraft eines medizinischen Berichts kann mit zunehmendem Alter geschmälert werden. Dem Beschwerdeführer wurde mit Beschluss vom 21. März 2005 eine halbe Rente zugesprochen. Die Expertise von Dr. med. Z._______ stammt vom 6. Januar 2004, die Untergutachten aus dem Dezember 2003. Die Gutachten waren somit im Zeitpunkt des Beschlusses rund 15 Monate alt. Die vom Beschwerdführer eingereichten Unterlagen lassen jedoch keine Verschlechterung seines Gesundheitszustandes während dieser Zeitspanne erkennen. So geht sowohl der Untergutachter Dr. med A._______ als auch die Amtsärztin Dr. C._______ davon aus, dass der Beschwerdeführer an einer wiederkehrenden depressiven Störung leide. Aus dem Umstand, dass ersterer in seinem Gutachten vom 31. Dezember 2003 das Vorliegen einer leicht- und letztere in ihrem Bericht vom 29. September 2004 das Vorliegen einer mittelgradigen Episode erkannte, kann nicht geschlossen werden, dass sich die psychische Gesundheit des Beschwerdeführers generell verschlechtert habe. Einerseits können bei einer wiederkehrenden depressiven Störung die einzelnen Episoden unterschiedlich stark ausgeprägt sein. Anderseits sind zwischen einer leichten und einer mittelschweren Depression Abgrenzungsschwierigkeiten möglich. Im Übrigen lassen auch die Berichte der behandelnden Psychiaterin Dr. W._______ keine Hinweise auf eine Verschlechterung der Gesundheit erkennen. Die Expertisen waren demnach zum Entscheidungszeitpunkt nicht veraltet, weshalb sich keine neue Begutachtung aufdrängt.</w:t>
      </w:r>
    </w:p>
    <w:p>
      <w:r>
        <w:rPr>
          <w:b/>
        </w:rPr>
        <w:t>E. 6.6</w:t>
      </w:r>
    </w:p>
    <w:p>
      <w:r>
        <w:t>Der Beschwerdeführer brachte im Übrigen vor, dass der Validenlohn falsch berechnet worden sei. Es gelte die im Jahre 2001 erhaltene "Ferien- und Überzeitentschädigung" von Fr. 10'000.- sowie die Auszahlung von 19 Ferientagen von Fr. 6'006.60 anzurechnen, weshalb von einem Valideneinkommen von Fr. 106'941.60 auszugehen sei.</w:t>
      </w:r>
    </w:p>
    <w:p>
      <w:r>
        <w:rPr>
          <w:b/>
        </w:rPr>
        <w:t>E. 6.6.1</w:t>
      </w:r>
    </w:p>
    <w:p>
      <w:r>
        <w:t>Bei der Ermittlung des Valideneinkommens ist entscheidend, was der Versicherte im massgebenden Zeitpunkt nach dem Beweisgrad der überwiegenden Wahrscheinlichkeit als Gesunder tatsächlich verdienen würde. Die Einkommensermittlung hat so konkret wie möglich zu erfolgen; daher ist in der Regel vom letzten Lohn, den der Versicherte vor Eintritt der Gesundheitsschädigung erzielt hat, auszugehen (I 361/02 mit Hinweisen). Bei der Bestimmung dieses zuletzt erzielten Einkommens sind sämtliche Erwerbseinkommen (auch etwa Nebeneinkünfte, regelmässig geleistete Überstunden) für welche eine AHV-Beitragspflicht besteht, zu berücksichtigen (Ueli Kieser, ATSG-Kommentar, 2. Aufl., Zürich Basel Genf 2009, Art. 16 RN 13).</w:t>
      </w:r>
    </w:p>
    <w:p>
      <w:r>
        <w:rPr>
          <w:b/>
        </w:rPr>
        <w:t>E. 6.6.2</w:t>
      </w:r>
    </w:p>
    <w:p>
      <w:r>
        <w:t>Dem Fragebogen Arbeitgeber vom 7. Mai 2003 (act. 13) lässt sich entnehmen, dass der Beschwerdeführer im Jahr 2001 über ein Monatseinkommen von Fr. 6'995.- verfügte, was bei 13 Monatslöhnen einem Jahreseinkommen von Fr. 90'935.- entspricht. Ihm sind im betreffenden Jahr jedoch Fr. 106'941.60 gutschrieben worden. Aus der von der Arbeitgeberin am 28. Februar 2005 nachgereichten Einkommensauflistung (act. 56) ergibt sich, dass dem Beschwerdeführer im Februar 2001 eine "Ferien- und Überzeitentschädigung" von Fr. 10'000.- ausbezahlt worden ist. Diese bezieht sich indessen auf das Vorjahr und hat somit keinen Einfluss auf das massgebliche Einkommen im Jahre 2001. Im Dezember 2001 erfolgte eine Entschädigung für neunzehn nicht bezogene Ferientage in der Höhe von Fr. 6006.60. Das Gesetz enthält zur Sicherung des mit den Ferien verfolgten Erholungszwecks ein absolut zwingendes Verbot ihrer Abgeltung (Art. 329d Abs. 2 in Verbindung mit Art. 361 des Bundesgesetzes vom 30. März 1911 betreffend die Ergänzung des Schweizerischen Zivilgesetzbuches [Fünfter Teil: Obligationenrecht {OR, SR 220}]), wovon die Praxis nur mit äusserster Zurückhaltung bei unregelmässigem oder sehr kurzem Arbeitseinsatz gewisse Ausnahmen zulässt (BGE 123 V 70 E. 5c mit Hinweis auf BGE 116 II 517 E. 4a). Es würde der Schutzbestimmung des Art. 329d Abs. 2 OR widersprechen, liesse sich die Abgeltung für nicht bezogene Ferientage als versicherter Verdienst anrechnen (vgl. BGE 123 V 70 E. 5 und BGE 125 V 42 E. 5). Der Beschwerdeführer deutete im Übrigen, ohne dies belegen zu können, an, dass es sich bei der Ferienentschädigung für das Jahr 2001 in Wahrheit um die Auszahlung von Überstunden gehandelt habe. Das Schreiben der Arbeitgeberin an den Beschwerdeführer vom 6. Februar 2001, dem sich entnehmen lässt, dass sie Überstunden künftig nur noch akzeptiere, sofern diese auf dem Stundenrapport vom direkten Vorgesetzten visiert würden (act. 79), spricht jedoch gegen diese Auffassung. Der Nachweis der Regelmässigkeit von Überstunden wurde nicht erbracht. Die Vorinstanz hat somit das Valideneinkommen korrekt berechnet, weshalb auch diese Rüge fehlgeht.</w:t>
      </w:r>
    </w:p>
    <w:p>
      <w:r>
        <w:rPr>
          <w:b/>
        </w:rPr>
        <w:t>E. 6.7</w:t>
      </w:r>
    </w:p>
    <w:p>
      <w:r>
        <w:t>Zusammenfassend lässt sich festhalten, dass für das Bundesverwaltungsgericht der rechtserhebliche Sachverhalt schlüssig ermittelt und begründet erscheint. Es gibt weder ersichtliche Gründe vom Gutachten von Dr. med. Z._______ und den dazugehörigen Untergutachten abzuweichen noch bestehen Anhaltspunkte, wonach der Gesundheitszustand des Beschwerdeführers weiterer Abklärungen bedürfte. Insbesondere waren die Expertisen zum Entscheidungszeitpunkt nicht veraltet. Auch hat die Vorinstanz das Valideneinkommen korrekt berechnet. Im Übrigen sei nochmals darauf hingewiesen, dass gemäss konstanter Rechtsprechung die schweizerischen Behörden an die Beurteilung ausländischer Versicherungsträger, Krankenkassen, anderer Behörden und Ärzte nicht gebunden sind. Die Beschwerde erweist sich folglich als unbegründet, weshalb sie abzuweisen ist.</w:t>
      </w:r>
    </w:p>
    <w:p>
      <w:r>
        <w:rPr>
          <w:b/>
        </w:rPr>
        <w:t>E. 7.1</w:t>
      </w:r>
    </w:p>
    <w:p>
      <w:r>
        <w:t>Verfahrenskosten werden keine erhoben, da es im vorliegenden Verfahren über die Bewilligung bzw. Verweigerung von Versicherungsleistungen geht, und gemäss den bis zum 30. Juni 2006 geltenden und nach der Praxis des Bundesverwaltungsgerichts für die hängigen Beschwerden gegen IV-Einspracheentscheide auch weiterhin anwendbaren Bestimmungen keine Verfahrenskosten erhoben werden (Art. 69 Abs. 2 IVG in Verbindung mit Art. 85bis Abs. 2 des Bundesgesetzes vom 20. Dezember 1946 über die Alters- und Hinterlassenenversicherung [AHVG, SR 831.10]).</w:t>
      </w:r>
    </w:p>
    <w:p>
      <w:r>
        <w:rPr>
          <w:b/>
        </w:rPr>
        <w:t>E. 7.2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