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C-1229/2009 vom 30. Juni 2011</w:t>
      </w:r>
    </w:p>
    <w:p>
      <w:r>
        <w:t>Bundesverwaltungsgericht, 2011-06-30, FR</w:t>
      </w:r>
    </w:p>
    <w:p>
      <w:r>
        <w:rPr>
          <w:b/>
        </w:rPr>
        <w:t xml:space="preserve">Quelle: </w:t>
      </w:r>
      <w:r>
        <w:t>https://mcp.opencaselaw.ch/entscheid/bvger_C-1229_2009</w:t>
      </w:r>
    </w:p>
    <w:p>
      <w:r>
        <w:t>FR: TAF C-1229/2009 du 30 juin 2011</w:t>
      </w:r>
    </w:p>
    <w:p>
      <w:r>
        <w:t>IT: TAF C-1229/2009 del 30 giugno 2011</w:t>
      </w:r>
    </w:p>
    <w:p>
      <w:pPr>
        <w:pStyle w:val="Heading2"/>
      </w:pPr>
      <w:r>
        <w:t>Regeste</w:t>
      </w:r>
    </w:p>
    <w:p>
      <w:r>
        <w:t>Extension d'une décision cantonale de renvoi</w:t>
      </w:r>
    </w:p>
    <w:p>
      <w:pPr>
        <w:pStyle w:val="Heading2"/>
      </w:pPr>
      <w:r>
        <w:t>Erwägungen</w:t>
      </w:r>
    </w:p>
    <w:p>
      <w:r>
        <w:rPr>
          <w:b/>
        </w:rPr>
        <w:t>E. 6</w:t>
      </w:r>
    </w:p>
    <w:p>
      <w:r>
        <w:t>Les mesures provisionnelles prononcées le 10 mars 2009 par le Tribunal laissaient en suspens la demande de restitution de l'effet suspensif retiré au recours par l'ODM. Cette dernière requête est devenue sans objet du fait du présent arrêt.</w:t>
      </w:r>
    </w:p>
    <w:p>
      <w:r>
        <w:rPr>
          <w:b/>
        </w:rPr>
        <w:t>E. 7</w:t>
      </w:r>
    </w:p>
    <w:p>
      <w:r>
        <w:t>Il résulte de ce qui précède que, par sa décision du 23 janvier 2009, l'ODM n'a ni violé le droit fédéral, ni constaté des faits pertinents de ma­nière inexacte ou incomplète; en outre, cette décision n'est pas inoppor­tune (cf.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