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C-1224/2006 vom 16. November 2007</w:t>
      </w:r>
    </w:p>
    <w:p>
      <w:r>
        <w:t>Bundesverwaltungsgericht, 2007-11-16, DE</w:t>
      </w:r>
    </w:p>
    <w:p>
      <w:r>
        <w:rPr>
          <w:b/>
        </w:rPr>
        <w:t xml:space="preserve">Quelle: </w:t>
      </w:r>
      <w:r>
        <w:t>https://mcp.opencaselaw.ch/entscheid/bvger_C-1224_2006</w:t>
      </w:r>
    </w:p>
    <w:p>
      <w:r>
        <w:t>FR: TAF C-1224/2006 du 16 novembre 2007</w:t>
      </w:r>
    </w:p>
    <w:p>
      <w:r>
        <w:t>IT: TAF C-1224/2006 del 16 novembre 2007</w:t>
      </w:r>
    </w:p>
    <w:p>
      <w:pPr>
        <w:pStyle w:val="Heading2"/>
      </w:pPr>
      <w:r>
        <w:t>Regeste</w:t>
      </w:r>
    </w:p>
    <w:p>
      <w:r>
        <w:t>Ausländische Arbeitnehmer</w:t>
      </w:r>
    </w:p>
    <w:p>
      <w:pPr>
        <w:pStyle w:val="Heading2"/>
      </w:pPr>
      <w:r>
        <w:t>Erwägungen</w:t>
      </w:r>
    </w:p>
    <w:p>
      <w:r>
        <w:rPr>
          <w:b/>
        </w:rPr>
        <w:t>E. 1.1</w:t>
      </w:r>
    </w:p>
    <w:p>
      <w:r>
        <w:t>Verfügungen des BFM betreffend Verweigerung der Zustimmung zum arbeitsmarktlichen Vorentscheid nach Art. 42 Abs. 5 BVO unterliegen der Beschwerde an das Bundesverwaltungsgericht (Art. 20 Abs. 1 des Bundesgesetzes vom 26. März 1931 über Aufenthalt und Niederlassung der Ausländer [ANAG, SR 142.20] und Art. 53 BVO i.V.m. Art. 31 und Art. 33 Bst. d des Verwaltungsgerichtsgesetzes vom 17. Juni 2005 [VGG, SR 173.32]).</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Bundesgesetz vom 20. Dezember 1968 über das Verwaltungsverfahren (VwVG, SR 172.021), soweit das Gesetz nichts anderes bestimmt. Das Urteil ist endgültig (Art. 1 Abs. 2 VGG i.V.m. Art. 83 Bst. c Ziff. 2 des Bundesgesetzes vom 17. Juni 2005 über das Bundesgericht [BGG, SR 173.110]).</w:t>
      </w:r>
    </w:p>
    <w:p>
      <w:r>
        <w:rPr>
          <w:b/>
        </w:rPr>
        <w:t>E. 1.4</w:t>
      </w:r>
    </w:p>
    <w:p>
      <w:r>
        <w:t>Die Beschwerdeführerin 1 ist als Arbeitgeberin von F._______ zur Beschwerdeführung legitimiert, dasselbe gilt für den Beschwerdeführer 2 als Verfügungsbetroffener (vgl. Art. 20 Abs. 2 ANAG und Art. 53 Abs. 4 BVO). Auf die frist- und formgerechte Beschwerde ist einzutreten (Art. 48 ff. VwVG), soweit sie sich gegen die angefochtene Zustimmungsverweigerung vom 24. Mai 2006 richtet.</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des Bundesgerichts 2A.451/2002 vom 28. März 2003).</w:t>
      </w:r>
    </w:p>
    <w:p>
      <w:r>
        <w:rPr>
          <w:b/>
        </w:rPr>
        <w:t>E. 3.1</w:t>
      </w:r>
    </w:p>
    <w:p>
      <w:r>
        <w:t>Der Parteivertreter regt in der Beschwerdeergänzung vom 29. September 2006 die Befragung des firmenexternen Projektleiters und Beraters D.B. als Zeugen an. Im Verwaltungs(beschwerde)verfahren gilt grundsätzlich das Untersuchungsprinzip, das durch die Mitwirkungspflicht der Parteien ergänzt wird (vgl. Art. 12 und 13 VwVG). Der Untersuchungsgrundsatz bedeutet, dass die Verwaltungs- und Justizbehörden den Sachverhalt von Amtes wegen abklären. Sie sind für die Beschaffung der Entscheidgrundlagen verantwortlich. Hierfür bedienen sie sich nötigenfalls der in Art. 12 VwVG genannten Beweismittel. Die Einvernahme von Zeuginnen und Zeugen ist nach Art. 14 VwVG nur unter der einschränkenden Voraussetzung anzuordnen, dass sich der Sachverhalt auf andere Weise nicht hinreichend abklären lässt (zum Ganzen vgl. BGE 130 ll 169 E. 2.3.3 oder BBl 1965 ll 1366/67). Art. 19 VwVG i.V.m. Art. 37 des Bundesgesetzes über den Bundeszivilprozess vom 4. Dezember 1947 (BZP, SR 273) verpflichtet die Behörde sodann nicht, alles und jedes, was wünschbar wäre, abzuklären. Bei der Auswahl der Beweismittel berücksichtigt sie vielmehr deren Tauglichkeit und Beweiskraft (vgl. Alfred Kölz/Isabelle Häner, Verwaltungsverfahren und Verwaltungsrechtspflege des Bundes, 2. Aufl., Zürich 1998, Rz. 276). Zusätzliche Abklärungen sind insofern nur dann vorzunehmen, wenn hierzu aufgrund der Parteivorbringen oder anderer sich aus den Akten ergebender Anhaltspunkte Anlass besteht.</w:t>
      </w:r>
    </w:p>
    <w:p>
      <w:r>
        <w:rPr>
          <w:b/>
        </w:rPr>
        <w:t>E. 3.2</w:t>
      </w:r>
    </w:p>
    <w:p>
      <w:r>
        <w:t>Von beantragten Beweisvorkehren kann abgesehen werden, wenn der Sachverhalt, den eine Partei beweisen will, nicht rechtserheblich ist, wenn bereits Feststehendes bewiesen werden soll, wenn von vornherein gewiss ist, dass der angebotene Beweis keine wesentlich neuen Erkenntnisse zu vermitteln vermag oder wenn die Behörde den Sachverhalt aufgrund eigener Sachkunde ausreichend würdigen kann (vgl. Kölz/Häner, a.a.O., Rz. 319 und 320; BGE 122 V 157 E. 1d S. 162 mit Hinweis). Gelangt die Behörde bei pflichtgemässer Beweiswürdigung zur Überzeugung, der zu beweisende Sachverhalt sei nicht rechtserheblich oder der angebotene Beweis nicht geeignet, weitere Abklärungen herbeizuführen, kann auf ein beantragtes Beweismittel verzichtet werden (zur antizipierten Beweiswürdigung vgl. BGE 130 ll 169 nicht publizierte E. 2.1, ferner BGE 127 l 54 E. 2b S. 56, BGE 122 V 157 E. 1d S. 162, BGE 119 V 335 E. 2c S. 344; Verwaltungspraxis der Bundesbehörden [VPB] 69.78 E. 5a). Eine solche Situation ist hier gegeben. Mit der angeregten Zeugeneinvernahme will der Parteivertreter darlegen, dass der Beschwerdeführer 2 die verlangten beruflichen Qualifikationen im Sinne von Art. 8 Abs. 3 Bst. a BVO mitbringt. Hierbei handelt es sich indessen um einen Aspekt, dem mit Blick auf den Ausgang des vorliegenden Zustimmungsverfahrens nurmehr marginale Bedeutung zukommt (siehe dazu die nachfolgenden E. 5.1 - 5.4). Das konkrete Videoprojekt, für dessen Realisierung die persönliche Anwesenheit des Beschwerdeführers 2 in der Schweiz laut dem undatierten Bericht von D.B. sehr zu begrüssen wäre, war zudem für die Zeitspanne von Juli/August 2006 bis Frühjahr 2007 geplant und dürfte in der Zwischenzeit umgesetzt sein. Schliesslich befindet sich wie eben dargetan bereits eine entsprechende schriftliche Stellungnahme von D.B. in den Akten. Dem Antrag auf Zeugeneinvernahme ist demzufolge nicht stattzugeben.</w:t>
      </w:r>
    </w:p>
    <w:p>
      <w:r>
        <w:rPr>
          <w:b/>
        </w:rPr>
        <w:t>E. 4.1</w:t>
      </w:r>
    </w:p>
    <w:p>
      <w:r>
        <w:t>F._______ untersteht als rumänischer Staatsangehöriger vorderhand weder dem Abkommen über die Freizügigkeit vom 21. Juni 1999 zwischen der Schweizerischen Eidgenossenschaft einerseits und der Europäischen Gemeinschaft und ihren Mitgliedstaaten andererseits (Freizügigkeitsabkommen, SR 0.142.112.681) noch dem Abkommen vom 21. Juni 2001 zur Änderung des Übereinkommens vom 4. Januar 1960 zur Errichtung der Europäischen Freihandelsassoziation (EFTA-Übereinkommen, SR 0.632.31). Seine Zulassung zum schweizerischen Arbeitsmarkt richtet sich deshalb nach dem ANAG und der BVO (Art. 2 BVO). Die Behörde entscheidet, im Rahmen der gesetzlichen Vorschriften und der Verträge mit dem Ausland, nach freiem Ermessen über die Bewilligung von Aufenthalt oder Niederlassung (Art. 4 ANAG).</w:t>
      </w:r>
    </w:p>
    <w:p>
      <w:r>
        <w:rPr>
          <w:b/>
        </w:rPr>
        <w:t>E. 4.2</w:t>
      </w:r>
    </w:p>
    <w:p>
      <w:r>
        <w:t>Die kantonalen Fremdenpolizeibehörden sind zuständig für die Erteilung und Verlängerung von Bewilligungen. Erwerbstätigen Ausländerinnen und Ausländern erteilen sie Bewilligungen erst nach dem Vorentscheid oder der Stellungnahme der Arbeitsmarktbehörde. Vorbehalten bleibt die Zustimmung des BFM (Art. 51 BVO).</w:t>
      </w:r>
    </w:p>
    <w:p>
      <w:r>
        <w:rPr>
          <w:b/>
        </w:rPr>
        <w:t>E. 4.3</w:t>
      </w:r>
    </w:p>
    <w:p>
      <w:r>
        <w:t>Die Begrenzungsverordnung macht die fremdenpolizeiliche Zulassung von Drittstaatsangehörigen zwecks Erwerbstätigkeit unter anderem davon abhängig, dass die Bestimmungen über den Inländervorrang (Art. 7 BVO) und den Vorrang von Angehörigen von Mitgliedstaaten der EU und der EFTA (Art. 8 BVO) gewahrt sind. Darüber entscheidet die kantonale Arbeitsmarktbehörde im Rahmen eines Vorentscheides zum kantonalen Bewilligungsentscheid; der Vorentscheid zu Bewilligungen, welche zu Lasten der kantonalen Höchstzahlen gehen (Kontingentsbewilligungen), ist dem BFM zur Zustimmung zu unterbreiten (Art. 42 Abs. 1 und 5 BVO). Dieses befindet in Ausübung einer originären Sachentscheidskompetenz des Bundes und ohne Bindung an die Beurteilung durch die kantonalen Behörden über das Vorliegen der entsprechenden Voraussetzungen (vgl. BGE 127 ll 49 E. 3a S. 51 f., BGE 120 lb 6 E. 3c S. 11 f., ferner VPB 70.23, 67.62 oder 66.66).</w:t>
      </w:r>
    </w:p>
    <w:p>
      <w:r>
        <w:rPr>
          <w:b/>
        </w:rPr>
        <w:t>E. 4.4</w:t>
      </w:r>
    </w:p>
    <w:p>
      <w:r>
        <w:t>Bewilligungen zur erstmaligen Erwerbstätigkeit, zum Stellen- oder Berufswechsel und zur Verlängerung des Aufenthalts dürfen nur erteilt werden, wenn der Arbeitgeber keine einheimische Arbeitskraft findet, die gewillt und fähig ist, die Arbeit zu den orts- und berufsüblichen Lohn- und Arbeitsbedingungen zu leisten (Art. 7 Abs. 1 BVO). Bei Gesuchen für eine erstmalige Erwerbstätigkeit muss der Arbeitgeber auf Verlangen zudem nachweisen, dass er alle zumutbaren Anstrengungen unternommen hat, um eine Arbeitskraft auf dem inländischen Arbeitsmarkt zu finden (Art. 7 Abs. 4 Bst. a BVO). Steht keine geeignete Arbeitskraft aus der Schweiz zur Verfügung und will die Arbeitgeberin oder der Arbeitgeber eine ausländische Person anstellen, ist nach der Prioritätenordnung von Art. 8 BVO vorzugehen.</w:t>
      </w:r>
    </w:p>
    <w:p>
      <w:r>
        <w:rPr>
          <w:b/>
        </w:rPr>
        <w:t>E. 4.5</w:t>
      </w:r>
    </w:p>
    <w:p>
      <w:r>
        <w:t>Gemäss Art. 8 Abs. 1 BVO wird eine Bewilligung zur Ausübung einer Erwerbstätigkeit in erster Linie den Angehörigen der EU-Mitgliedstaaten nach dem Freizügigkeitsabkommen und den Angehörigen der EFTA-Mitgliedstaaten nach dem EFTA-Übereinkommen erteilt. Die Arbeitsmarktbehörden können im Vorentscheid zu Bewilligungen (Art. 42 BVO) Ausnahmen von Art. 8 Abs. 1 BVO verfügen, wenn es sich um qualifizierte Arbeitskräfte handelt und besondere Gründe eine Ausnahme rechtfertigen (Art. 8 Abs. 3 Bst. a BVO). Dabei müssen die beiden genannten Kriterien kumulativ erfüllt sein (vgl. VPB 67.62, 66.66, 66.67 oder 59.17).</w:t>
      </w:r>
    </w:p>
    <w:p>
      <w:r>
        <w:rPr>
          <w:b/>
        </w:rPr>
        <w:t>E. 5.1</w:t>
      </w:r>
    </w:p>
    <w:p>
      <w:r>
        <w:t>Sowohl die Vorinstanz als auch der Rechtsvertreter setzen sich eingehend mit dem Argument der Qualifiziertheit der Arbeitskraft im Sinne von Art. 8 Abs. 3 Bst. a BVO auseinander. Aus den Weisungen und Erläuterungen des BFM über Einreise, Aufenthalt und Arbeitsmarkt (ANAG-Weisungen, überarbeitete und ergänzte 3. Auflage, Bern, Mai 2006 [Quelle: www.bfm.admin.ch]) lässt sich sinngemäss ableiten, dass Mediadesigner dann als qualifiziert gelten, wenn sie im Besitze eines entsprechenden Ausbildungsabschlusses einer Berufs- oder Fachhochschule sind (vgl. Ziff. 432.32 bzw. Ziff. 491 ff. und Anhang 4/8a e contrario der ANAG-Weisungen). In der Vernehmlassung werden einige Institute aufgezählt, welche in diesem Bereich Ausbildungslehrgänge anbieten. Darunter figuriert ebenfalls die Fachhochschule Nordwestschweiz in Basel, an welcher der Beschwerdeführer 2 seit dem Herbst 2004 einen vergleichbaren dreijährigen Lehrgang absolviert. Zur Zeit ist er daran, die bislang mit Erfolg durchlaufene Ausbildung zu beenden (vgl. die diesbezüglichen Gutachten und Empfehlungen in den Beschwerdebeilagen), er dürfte mithin in Kürze in der Lage sein, den geforderten Ausbildungsabschluss mittels eines Diploms nachzuweisen, weshalb sich nähere Ausführungen hierzu erübrigen. Im vorliegenden Verfahren bleibt daher in erster Linie zu prüfen, ob besondere Gründe (zweiter Teiltatbestand von Art. 8 Abs. 3 Bst. a BVO) es gestatten, ausnahmsweise eine solche Tätigkeit zuzulassen.</w:t>
      </w:r>
    </w:p>
    <w:p>
      <w:r>
        <w:rPr>
          <w:b/>
        </w:rPr>
        <w:t>E. 5.2</w:t>
      </w:r>
    </w:p>
    <w:p>
      <w:r>
        <w:t>Dem Beschwerdeführer 2 wurde im September 2001 mit einer Kurzaufenthaltsbewilligung ermöglicht, für die Beschwerdeführerin 1 in der Schweiz als Screendesigner ein Spezialprojekt eines Grosskunden erfolgreich zum Abschluss zu bringen. Dank reduziertem Beschäftigungsgrad erhielt er zugleich die Gelegenheit, sich betriebsintern weiterzubilden. Seine Anwesenheit war aber ausdrücklich auf sechs Monate befristet (vgl. die Ermächtigung zur Visumerteilung vom 3. September 2001). Auch die Arbeitgeberin gab damals zu verstehen, ihr Angestellter werde danach wieder nach Rumänien zurückkehren, um sich dort als Mediadesigner bzw. Videokünstler zu etablieren (vgl. die Schreiben der Firma vom 20. Juli 2001 und 3. August 2001). Wegen der Beziehung zu T.V., einzelzeichnungsberechtigter Geschäftsführer der Beschwerdeführerin 1, gelangte der Beschwerdeführer 2 im September 2002, nach vorübergehender Rückkehr in sein Heimatland, erneut in den Genuss eines Anwesenheitsrechts für die Schweiz. Die Bewilligungserteilung erfolgte diesmal auf der Grundlage von Art. 13 Bst. f BVO. Sie war an die Bedingung der häuslichen Gemeinschaft mit dem Lebenspartner geknüpft und die Ausübung einer Erwerbstätigkeit im Rahmen besagter Bewilligung erlaubt. Nachdem sich das gleichgeschlechtliche Paar im Sommer 2005 getrennt hatte, war auch der Aufenthaltszweck der zweiten Bewilligung erfüllt, weshalb die kantonale Migrationsbehörde die Angelegenheit nunmehr mit einer kontingentierten Bewilligung gemäss Art. 14 Abs. 4 BVO regeln möchte. Diese Ausführungen erhellen, dass die bisherige Anwesenheit des Beschwerdeführers 2 stets auf privilegierten Zulassungskriterien beruht hat. Aus den früheren Bewilligungen lassen sich mit Blick auf das vorliegende Zustimmungsverfahren demnach keine Ansprüche ableiten. Die nunmehr beantragte Bewilligung steht, da der Beschwerdeführer 2 parallel zur Erwerbstätigkeit eine Ausbildung absolviert, zudem in einem Spannungsverhältnis zu Art. 32 BVO (siehe hierzu ebenfalls den Bericht des Migrationsamtes Kanton Aargau vom 10. Mai 2006). Von daher scheint es angezeigt, ein besonderes Augenmerk darauf zu richten, Handlungen zu verhindern, die in irgendeiner Weise auf eine Umgehung der ordentlichen ausländerrechtlichen Vorschriften hinauslaufen könnten. Andernfalls würde dem Schaffen vollendeter Tatsachen Vorschub geleistet (siehe dazu Art. 4 Abs. 1 und 2 sowie Art. 8 Abs. 2 der Vollziehungsverordnung vom 1. März 1949 zum Bundesgesetz über Aufenthalt und Niederlassung der Ausländer [ANAV, SR 142.201]). Bei dieser Ausgangslage rechtfertigt es sich, die möglichen Ausnahmegründe gemäss Art. 8 Abs. 3 Bst. a BVO eng auszulegen.</w:t>
      </w:r>
    </w:p>
    <w:p>
      <w:r>
        <w:rPr>
          <w:b/>
        </w:rPr>
        <w:t>E. 5.3</w:t>
      </w:r>
    </w:p>
    <w:p>
      <w:r>
        <w:t>Ob die Voraussetzungen für die Annahme eines besonderen Grundes im Sinne von Art. 8 Abs. 3 Bst. a BVO gegeben sind, beurteilt sich in erster Linie nach dem volkswirtschaftlichen Gesamtinteresse. Dieses wiederum hat sich heutzutage auch an übergeordneten integrations- und staatspolitischen Zielen zu orientieren. Unter diesem Gesichtspunkt werden von der Rechtsprechung und Praxis folgende Ausnahmegründe zugelassen: Zusammenarbeitsverträge (Joint Ventures), Praktika oder Aus- und Weiterbildung (von Berufsverbänden, global tätigen Unternehmen oder in genau definierten Bereichen mit Ausbildungskonzepten auch von KMU), Kader- oder Spezialistentransfer, prekäre gesamtschweizerischen Arbeitsmarktsituation, wirtschaftliche und für den Arbeitsmarkt Schweiz nachhaltig relevante Gründe sowie Sonderfälle von allgemeinem Interesse ohne grössere wirtschaftliche Bedeutung (vgl. Ziffer 432.32 der ANAG-Weisungen oder das Urteil des Bundesverwaltungsgerichts C-1229/2006 vom 6. Juni 2007 E. 5.3). Für diejenigen Branchen und Berufe bzw. Berufsfunktionen, in denen in der Vergangenheit am häufigsten um Ausnahmen von den Rekrutierungsbemühungen ersucht wurde (Gastgewerbe, Gesundheitswesen, Tourismus, Informatik, Sportler, Musiker, Künstler), listen die ANAG-Weisungen explizit die besonderen Kriterien für eine Ausnahme nach Art. 8 Abs. 3 Bst. a BVO auf (siehe Ziff. 491 i.V.m. Anhang 4/8 der ANAG-Weisungen). Das Metier, in welchem der Beschwerdeführer 2 tätig ist, figuriert nicht darunter.</w:t>
      </w:r>
    </w:p>
    <w:p>
      <w:r>
        <w:rPr>
          <w:b/>
        </w:rPr>
        <w:t>E. 5.3.1</w:t>
      </w:r>
    </w:p>
    <w:p>
      <w:r>
        <w:t>Der Rechtsvertreter beklagt in der Replik, dass es viel zu wenige Mediadesigner gebe. Angesprochen ist damit, wenn auch nicht explizit, der Ausnahmegrund "prekäre gesamtschweizerische Arbeitsmarktsituation". Dieser gelangt zur Anwendung, wenn Branchenverbände in dringenden Fällen mit wirtschaftlicher Bedeutung sich an das BFM wenden und für gewisse Personengruppen bzw. Berufssegmente Ausnahmen erwirken. Dies ist in casu bislang nicht geschehen und es wird auch nicht geltend gemacht, derartige Schritte stünden bevor. Angesichts des im Arbeitsvertrag vom 24. Oktober 2004 umschriebenen Anforderungsprofils, welches dem gängigen Berufsbild entspricht, darf davon ausgegangen werden, dass sich bei reellen Anforderungen und Anstellungsbedingungen (Lohn) qualifizierte Fachkräfte in der Schweiz finden liessen. Eng damit zusammen hängt die Frage, ob der Arbeitsmarkt in den "alten" EU-Ländern und den Staaten der EFTA ausgetrocknet ist. Dagegen spricht allerdings nur schon, dass gemäss den Recherchen der Vorinstanz allein im deutschsprachigen Raum eine Vielzahl von Ausbildungsmöglichkeiten zum Mediadesigner existiert und es sich um einen Beruf handelt, der nach wie vor im Trend liegt. Seitens der Beschwerdeführerin 1 ist denn nur gerade eine einzige Suchbemühung aktenkundig, was sich als absolut unzureichend erweist (zu den notwendigen Rekrutierungsanstrengungen siehe die diesbezüglichen Ausführungen in der Vernehmlassung). Auch der nachgereichte Auszug mit Stellenangeboten aus der Fachzeitschrift "PAGE" eignet sich in der vorliegenden Form nicht für den Nachweis von Engpässen der beschriebenen Art.</w:t>
      </w:r>
    </w:p>
    <w:p>
      <w:r>
        <w:rPr>
          <w:b/>
        </w:rPr>
        <w:t>E. 5.3.2</w:t>
      </w:r>
    </w:p>
    <w:p>
      <w:r>
        <w:t>Soweit auf Beschwerdeebene argumentiert wird, die Zustimmungsverweigerung schmälere die Konkurrenzfähigkeit der Beschwerdeführerin 1, gefährde Arbeitsplätze und der Abgang von guten Arbeitnehmern sei volkswirtschaftlich generell schlecht, gilt es sodann zu prüfen, ob allenfalls der Ausnahmegrund "wirtschaftliche und für den Arbeitsmarkt Schweiz nachhaltig relevante Gründe" zum Tragen kommen könnte. Die ANAG-Weisungen nennen unter diesem Titel die Erschliessung neuer Märkte, die Sicherstellung von wirtschaftlich bedeutenden Verbindungen ins Ausland, die Sicherstellung von Exportvolumen sowie Unternehmensgründungen oder Betriebserweiterungen mit Schaffung von nachhaltigen Arbeitsplätzen, für die inländische Arbeitnehmende rekrutierbar sind. Nur schon diese Auflistung deutet darauf hin, dass die Bundesbehörden mit den Weisungen Sachverhalte von ganz anderen Dimensionen erfasst haben wollten (siehe hierzu VPB 67.62). Die Beschwerdeführerin 1 charakterisiert sich als Kleinbetrieb mit sieben Angestellten, die meisten davon arbeiten in Teilzeit (vgl. die Lohnbescheinigung für das Jahr 2005). Zusätzliche Arbeitsplätze würden im Falle der Weiterbeschäftigung des Beschwerdeführers 2 (er ist zur Zeit mit einem 50%-Pensum für die Firma tätig) keine geschaffen, was deutlich macht, dass besagte Eckdaten längst nicht die erforderliche Grössenordnung für eine Anerkennung als besonderer Grund im Sinne von Art. 8 Abs. 3 Bst. a BVO erreichen. Das Beibehalten des (minimalen) Personalbestandes kann unter solchen Umständen jedenfalls kaum als im volkswirtschaftlichen Gesamtinteresse liegend betrachtet werden und wesentliche wirtschaftliche Impulse würden durch die Besetzung besagter Teilzeitanstellung mit dem Beschwerdeführer 2 keine ausgelöst. So schloss die Hauptauftraggeberin ihre diesbezüglichen Verträge stets mit der Beschwerdeführerin 1 ab, wobei sie die Erfüllung der Aufträge nicht an die Bedingung der Mitwirkung einzelner, namentlich genannter Personen knüpfte (vgl. die Beilagen zur Beschwerdeschrift). Abgesehen davon verfügt der Kleinbetrieb, wie an anderer Stelle eingeräumt wird, über weitere gut qualifizierte Leute, so dass die Befürchtung, bei einem Weggang des Beschwerdeführers 2 könnten betriebsintern Arbeitsplätze gefährdet sein, in den Akten ebenfalls keine Stütze findet. Die übrigen der vorgesehenen Ausnahmetatbestände fallen unter den vorliegenden Begebenheiten von vornherein ausser Betracht. Die Zustimmung zum arbeitsmarktlichen Vorentscheid scheitert deshalb am Erfordernis der "besonderen Gründe" im Sinne von Art. 8 Abs. 3 Bst. a BVO.</w:t>
      </w:r>
    </w:p>
    <w:p>
      <w:r>
        <w:rPr>
          <w:b/>
        </w:rPr>
        <w:t>E. 5.4</w:t>
      </w:r>
    </w:p>
    <w:p>
      <w:r>
        <w:t>Der freie Personenverkehr mit der EU/EFTA erfordert aus volkswirtschaftlichen und staatspolitischen Überlegungen grösste Zurückhaltung gegenüber einer Zulassung von Drittstaatsangehörigen zum schweizerischen Arbeitsmarkt. Die Ausdehnung des Freizügigkeitsabkommens auf die neuen Mitgliedstaaten der EU (Osterweiterung) ist seit mehr als eineinhalb Jahren in Kraft. Auf den 1. Juni 2007 wurden zudem die Kontingente für die fünfzehn "alten" EU-Länder sowie Malta und Zypern aufgehoben. In beiden Fällen sind die Folgen und Auswirkungen davon offen. Aus Gründen der Rechtsgleichheit bzw. des Gleichbehandlungsgebotes geht es zudem nicht an, mögliche künftige Entwicklungen (konkret die allfällige Ausweitung der Personenfreizügigkeit auf Rumänien und Bulgarien) einzelfallweise vorwegzunehmen. Das Ziel der bundesrätlichen Ausländerpolitik ist es, eine Zuwanderung von Arbeitskräften aus Nicht-EU/EFTA-Staaten (sowie aus EU-Ländern ohne Personenfreizügigkeit mit der Schweiz) zu gestatten, die sozial- und gesellschaftspolitisch verträglich ist und nachhaltig für einen ausgewogenen Arbeitsmarkt sorgt. Die Beschäftigung von Drittausländern soll demzufolge ermöglicht werden, wenn dies im längerfristigeren gesamtwirtschaftlichen und staatspolitischen Interesse liegt, wobei den bestehenden Lohn- und Arbeitsbedingungen Beachtung zu schenken ist. Insoweit geht es darum zu vermeiden, dass mittels Sonderlösungen die Anwendung der ausländerrechtlichen Vorschriften behindert und mögliche, nicht erwünschte Präjudizien geschaffen werden. Daneben führte die dauerhafte arbeitsmarktliche Zulassung des Beschwerdeführers 2 zu einem gerade bei Schwellenländern der EU nicht unbedingt erwünschten Brain-Drain. Hinzuzufügen wäre, dass das Migrationsamt Kanton Aargau, indem es die Erwerbstätigkeit des betreffenden Arbeitnehmers während des Beschwerdeverfahrens duldete, den Interessen aller Beteiligten gebührend Rechnung trug. Ein weitergehendes Entgegenkommen scheint nicht angezeigt. Als unbehelflich erweist sich schliesslich der nachträglich Verweis auf Art. 50 des neuen Ausländergesetzes. Zum einen vermag dieses Gesetz keine Vorwirkung zu entfalten, zum anderen wäre über den behaupteten Anspruch unter einem anderen Aspekt sowie in einem anderen Verfahren zu befinden. Alles in allem widerspräche es demnach dem Sinn und Zweck des zweiten Abschnitts des Kapitel 1 der BVO, in Konstellationen wie der vorliegenden Ausnahmen zuzulassen. Die Vorinstanz hat das ihr nach Art. 4 ANAG zustehende Ermessen demnach in pflichtgemässer Weise wahrgenommen.</w:t>
      </w:r>
    </w:p>
    <w:p>
      <w:r>
        <w:rPr>
          <w:b/>
        </w:rPr>
        <w:t>E. 6</w:t>
      </w:r>
    </w:p>
    <w:p>
      <w:r>
        <w:t>Zusammenfassend ergibt die Überprüfung der arbeitsmarktlichen Situation, dass die Voraussetzungen im Sinne von Art. 8 Abs. 3 Bst. a BVO nicht gegeben sind. Die angefochtene Verfügung erweist sich somit als rechtmässig (Art. 49 VwVG), weshalb die Beschwerde abzuweisen ist.</w:t>
      </w:r>
    </w:p>
    <w:p>
      <w:r>
        <w:rPr>
          <w:b/>
        </w:rPr>
        <w:t>E. 7</w:t>
      </w:r>
    </w:p>
    <w:p>
      <w:r>
        <w:t>Bei diesem Ausgang des Verfahrens sind den Beschwerdeführern die Kosten aufzuerlegen (vgl. Art. 63 Abs. 1 VwVG i.V.m. Art. 1, Art. 2 und Art. 3 Bst. b des Reglements vom 11. Dezember 2006 über die Kosten und Entschädigungen vor dem Bundesverwaltungsgericht [VGKE, SR 173.320.2]). Dispositiv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