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C-1223/2011 vom 14. Mai 2014</w:t>
      </w:r>
    </w:p>
    <w:p>
      <w:r>
        <w:t>Bundesverwaltungsgericht, 2014-05-14, DE</w:t>
      </w:r>
    </w:p>
    <w:p>
      <w:r>
        <w:rPr>
          <w:b/>
        </w:rPr>
        <w:t xml:space="preserve">Quelle: </w:t>
      </w:r>
      <w:r>
        <w:t>https://mcp.opencaselaw.ch/entscheid/bvger_C-1223_2011</w:t>
      </w:r>
    </w:p>
    <w:p>
      <w:r>
        <w:t>FR: TAF C-1223/2011 du 14 mai 2014</w:t>
      </w:r>
    </w:p>
    <w:p>
      <w:r>
        <w:t>IT: TAF C-1223/2011 del 14 maggio 2014</w:t>
      </w:r>
    </w:p>
    <w:p>
      <w:pPr>
        <w:pStyle w:val="Heading2"/>
      </w:pPr>
      <w:r>
        <w:t>Regeste</w:t>
      </w:r>
    </w:p>
    <w:p>
      <w:r>
        <w:t>Heilmittel (Übriges)</w:t>
      </w:r>
    </w:p>
    <w:p>
      <w:pPr>
        <w:pStyle w:val="Heading2"/>
      </w:pPr>
      <w:r>
        <w:t>Erwägungen</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swissmedic eine öffentlich-rechtliche Anstalt des Bundes bildet (Art. 68 Abs. 2 des Heilmittelgesetzes vom 15. Dezember 2000 [HMG, SR 812.21]), die angefochtene Anordnung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Gebührenauflage ohne Zweifel besonders berührt und hat an deren Abänderung ein schutzwürdiges Interesse.</w:t>
      </w:r>
    </w:p>
    <w:p>
      <w:r>
        <w:rPr>
          <w:b/>
        </w:rPr>
        <w:t>E. 1.4</w:t>
      </w:r>
    </w:p>
    <w:p>
      <w:r>
        <w:t>Nachdem auch der Verfahrenskostenvorschuss innert der auferlegten Frist geleistet wurde, ist auf die frist- und formgerecht eingereichte Beschwerde einzutreten.</w:t>
      </w:r>
    </w:p>
    <w:p>
      <w:r>
        <w:rPr>
          <w:b/>
        </w:rPr>
        <w:t>E. 2.1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2.2</w:t>
      </w:r>
    </w:p>
    <w:p>
      <w:r>
        <w:t>In materiellrechtlicher Hinsicht sind grundsätzlich diejenigen Rechts­sätze massgebend, die bei der Erfüllung des zu Rechtsfolgen führenden Sachverhalts Geltung haben. Nachher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(vgl. BGE 130 V 329 E. 2.3 mit Hinweisen; zum Heilmittelrecht vgl. Urteil BVGer C-4853/2009 und C-4687/2010 vom 26. September 2012 E. 4.4 und 7.3, sowie zum Ganzen Häfelin/Müller/Uhlmann, Allgemeines Verwaltungsrecht, 6. Aufl., Rz. 322 ff., 326 f. m. H., und Madeleine Camprubi, in: Kommentar zum Bundesgesetz über das Verwaltungsverfahren [VwVG]; nachfolgend: VwVG-Kommentar, Rz. 10 zu Art. 62). Vorliegend sind diesbezügliche Gründe, welche die sofortige Anwendung des aktuellen Rechts erfordern würden, nicht erkennbar. Deshalb ist auf den Zeitpunkt des Erlasses des angefochtenen Verwaltungsakts (Verfügung vom 20. Januar 2011) abzustellen und werden die anwendbaren rechtlichen Bestimmungen zitiert, die zum damaligen Zeitpunkt Geltung hatten.</w:t>
      </w:r>
    </w:p>
    <w:p>
      <w:r>
        <w:rPr>
          <w:b/>
        </w:rPr>
        <w:t>E. 3.1</w:t>
      </w:r>
    </w:p>
    <w:p>
      <w:r>
        <w:t>Anfechtungsobjekt im Verfahren vor dem Bundesverwaltungsgericht bildet der vorinstanzliche Entscheid. Das Anfechtungsobjekt bildet den Rahmen, welcher den möglichen Rahmen des Streitgegenstandes begrenzt.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(Moser/Beusch/Kneubühler, Prozessieren vor Bundesverwaltungsgericht, 2. Aufl. 2013, Rz. 2.7 f., mit weiteren Hinweisen).</w:t>
      </w:r>
    </w:p>
    <w:p>
      <w:r>
        <w:rPr>
          <w:b/>
        </w:rPr>
        <w:t>E. 3.1.1</w:t>
      </w:r>
    </w:p>
    <w:p>
      <w:r>
        <w:t>Mit der angefochtenen Verfügung vom 20. Januar 2011 hat die Vorinstanz das Verfahren Zul.-Nr. (...) - X._______ A._______, Y._______ - Gesuchs-ID: (...), nach Rückzug als gegenstandslos abgeschrieben (Dispositiv-Ziff. 1) und dafür eine Gebühr von Fr. 500.- auferlegt (Dispositiv-Ziffer 2).</w:t>
      </w:r>
    </w:p>
    <w:p>
      <w:r>
        <w:rPr>
          <w:b/>
        </w:rPr>
        <w:t>E. 3.1.2</w:t>
      </w:r>
    </w:p>
    <w:p>
      <w:r>
        <w:t>Die Beschwerdeführerin beanstandet hauptsächlich die Auferlegung der Gebühr von Fr. 500.-. Sie argumentiert einerseits, sie habe das in Frage stehende Gesuch betreffend die Modifikation der X._______ A._______, Zul.-Nr. (...), welches sie auf Veranlassung des Instituts eingereicht habe, gar nicht zurückgezogen, sondern den sich seit März 2010 ergebenden neuen Gegebenheiten angepasst. Deshalb sei das Verfahren nicht abgeschlossen und deshalb noch keine Gebühr zu erheben. Anderseits bringt sie vor, das Institut habe mit dem in Frage stehenden Gesuch vom 26. Februar 2010 nur einen geringen Aufwand gehabt, weshalb die Gebühr zu erlassen sei.</w:t>
      </w:r>
    </w:p>
    <w:p>
      <w:r>
        <w:rPr>
          <w:b/>
        </w:rPr>
        <w:t>E. 3.1.3</w:t>
      </w:r>
    </w:p>
    <w:p>
      <w:r>
        <w:t>Aus der Begründung der Beschwerde ergibt sich demnach die Anfechtung der vollständigen Verfügung vom 20. Januar 2011, da die Beschwerdeführerin dem Rückzug des Gesuchs vom 26. Februar 2010 widerspricht und deshalb das Verfahren aus ihrer Sicht nicht hätte als gegenstandslos abgeschrieben werden dürfen. Somit ist nachfolgend zu prüfen, ob die Vorinstanz das Verfahren Gesuchs-ID (...) (X._______ A._______, Y.________, Zul.-Nr. ([...]) zu Recht abgeschrieben, damit abgeschlossen und dafür eine Gebühr - deren Höhe anschliessend zu überprüfen ist - auferlegt hat.</w:t>
      </w:r>
    </w:p>
    <w:p>
      <w:r>
        <w:rPr>
          <w:b/>
        </w:rPr>
        <w:t>E. 3.1.4</w:t>
      </w:r>
    </w:p>
    <w:p>
      <w:r>
        <w:t>Nicht Gegenstand des vorliegenden Verfahrens bildet indessen das sinngemäss gestellte Erlassgesuch (vgl. Art. 6 und 7 der Verordnung über die Gebühren des Schweizerischen Heilmittelinstituts vom 9. November 2011 [Heilmittel-Gebührenverordnung, HGebV, SR 812.214.5, in der bis am 31. Dezember 2012 gültigen Fassung, AS 2006 3681; siehe oben E. 2.2]), da die Frage nach einem Erlass in die funktionelle Zuständigkeit der Verwaltungsbehörde und nicht in diejenige der Rechtsmittelbehörde fällt (oben E. 3.1), wobei die Vorinstanz in der Vernehmlassung einen Erlass der Kosten verneint hat. Soweit demnach die Beschwerdeführerin im Beschwerdeverfahren einen Kostenerlass beantragt, ist zufolge fehlender funktioneller Zuständigkeit des Bundesverwaltungsgerichts nicht auf diesen Antrag einzutreten.</w:t>
      </w:r>
    </w:p>
    <w:p>
      <w:r>
        <w:rPr>
          <w:b/>
        </w:rPr>
        <w:t>E. 3.2</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S. 212).</w:t>
      </w:r>
    </w:p>
    <w:p>
      <w:r>
        <w:rPr>
          <w:b/>
        </w:rPr>
        <w:t>E. 4</w:t>
      </w:r>
    </w:p>
    <w:p>
      <w:r>
        <w:t>Vorliegend ist strittig und vom Bundesverwaltungsgericht zu prüfen, ob das Schreiben der Beschwerdeführerin vom 2. November 2011 ein Rückzug eines Zulassungs- bzw. Änderungsverfahrens war, wie die Vorinstanz darlegt, oder ein Teil eines noch laufenden Zulassungsverfahrens, wie die Beschwerdeführerin argumentiert.</w:t>
      </w:r>
    </w:p>
    <w:p>
      <w:r>
        <w:rPr>
          <w:b/>
        </w:rPr>
        <w:t>E. 4.1</w:t>
      </w:r>
    </w:p>
    <w:p>
      <w:r>
        <w:t>Die Beschwerdeführerin bringt vor, das Gesuch vom 26. Februar 2010 sei auf Verlangen des Instituts, das Präparat als Monopräparat anzubieten, eingereicht worden, dies obwohl sie die Notwendigkeit des Änderungswunschs gar nicht habe nachvollziehen können. Im Laufe der Zeit habe die Auffassung des Instituts intern geändert und dieses habe sich mit Schreiben vom 27. September 2010 damit einverstanden erklärt, die im Wesentlichen ursprüngliche Wirkstoffkombination - unter Erhöhung des W._______ - zu belassen. Entsprechend sei das Gesuch vom 26. Februar 2010 für die Modifikation der A._______ X._______, Zul.-Nr. (...), nicht zurückgezogen, sondern der neuen Ausgangslage angepasst worden (Eingabe vom 15. Dezember 2010) und damit weiter in Bearbeitung. Daher bestehe zur Zeit noch kein Anlass, eine Gebühr aufzuerlegen. Die Beschwerdeführerin rügt damit sinngemäss einen Verstoss gegen den Grundsatz von Treu und Glauben. Das Verhalten der Vorinstanz sei insofern widersprüchlich gewesen, als dass sie die Anpassungsvoraussetzungen für das Belassen der A._______ X._______ auf dem Markt geändert habe und nunmehr die verschiedenen - vom Institut verlangten - Anpassungen als einzelne Gesuche behandelt und diese einzeln in Rechnung gestellt habe.</w:t>
      </w:r>
    </w:p>
    <w:p>
      <w:r>
        <w:rPr>
          <w:b/>
        </w:rPr>
        <w:t>E. 4.2</w:t>
      </w:r>
    </w:p>
    <w:p>
      <w:r>
        <w:t>Die Vorinstanz macht im Wesentlichen geltend, es sei einzig Aufgabe der Zulassungsinhaberin, ihr Präparat jederzeit gemäss der gültigen Zulassungsdeklaration herzustellen bzw. zu vertreiben und allfällige Änderungen vor deren Umsetzung mittels ausreichend dokumentierten Gesuch dem Institut einzureichen. Sie habe daher die Beschwerdeführerin nicht veranlasst, ein Gesuch einzureichen. Aufgrund der festgestellten Diskrepanzen zwischen dem ursprünglichen Gesuch und der neu eingereichten Deklaration habe indes Handlungsbedarf bestanden, um den gesetzesmässigen Zustand wieder herzustellen. Das Institut sei hier an die Grenzen des vertretbaren Beratungsaufwandes gegangen. Zur von der Beschwerdeführerin behaupteten Meinungsänderung des Instituts während dieses Prozesses äussert sich das Institut nicht.</w:t>
      </w:r>
    </w:p>
    <w:p>
      <w:r>
        <w:rPr>
          <w:b/>
        </w:rPr>
        <w:t>E. 4.3</w:t>
      </w:r>
    </w:p>
    <w:p>
      <w:r>
        <w:t>Nachfolgend sind zunächst der rechtliche Rahmen, in welchem die vorliegende Streitfrage handelt, und die Rollen der Parteien im Zulassungs- bzw. Änderungsverfahren von Heilmitteln bzw. deren Marktüberwachung darzulegen (E. 5). Anschliessend ist auf den Grundsatz von Treu und Glauben im öffentlichen Recht im Allgemeinen und auf das Verbot widersprüchlichen Verhaltens von Behörden im Besonderen einzugehen (E. 6) und zu prüfen, ob und wenn ja, inwiefern die Vorinstanz im vorliegenden Fall widersprüchlich gehandelt hat und - falls dies zutreffen sollte - welche Folgen daraus abzuleiten sind (E. 7.1 ff.).</w:t>
      </w:r>
    </w:p>
    <w:p>
      <w:r>
        <w:rPr>
          <w:b/>
        </w:rPr>
        <w:t>E. 5.1</w:t>
      </w:r>
    </w:p>
    <w:p>
      <w:r>
        <w:t>Verwendungsfertige Arzneimittel dürfen in der Schweiz nur dann in Verkehr gebracht werden, wenn sie vom Institut zugelassen worden sind (abgesehen von Ausnahmen, die im vorliegenden Verfahren ohne Belang sind; vgl. etwa Art. 9 Abs. 2 HMG). Die Zulassungsvoraussetzungen werden in Art. 10 HMG geregelt. Das Zulassungsgesuch muss die für die Beurteilung erforderlichen Angaben und Unterlagen enthalten (Art. 11 Abs. 1 HMG); dazu gehören unter anderem die Ergebnisse der physikalischen, chemischen, galenischen und biologischen oder mikrobiologischen sowie der pharmakologischen und toxikologischen Prüfungen (Bst. g) und die Ergebnisse der klinischen Prüfungen (Bst. h).</w:t>
      </w:r>
    </w:p>
    <w:p>
      <w:r>
        <w:rPr>
          <w:b/>
        </w:rPr>
        <w:t>E. 5.2</w:t>
      </w:r>
    </w:p>
    <w:p>
      <w:r>
        <w:t>Die Zulassung eines Arzneimittels setzt insbesondere voraus, dass die Gesuchstellerin belegen kann, dass ihr Arzneimittel qualitativ hoch stehend, sicher und wirksam ist (Art. 10 Abs. 1 Bst. a HMG). Zulassungsgesuche müssen grundsätzlich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dem aktuellen Stand von Wissenschaft und Technik entsprechen (Art. 3 HMG).</w:t>
      </w:r>
    </w:p>
    <w:p>
      <w:r>
        <w:rPr>
          <w:b/>
        </w:rPr>
        <w:t>E. 5.3</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Häfeln/Müller/Uhlmann, a.a.O., Rz. 2534). Als Bewilligungsbehörde hat das Institut zu beurteilen, ob die Zulassungs­voraussetzungen, die gerade auch im Heilmittelgesetz und den gestützt darauf erlassenen Verordnungen nur relativ unbestimmt umschrieben sind, ausreichend nachgewiesen werden. Dabei hat es den ihm zustehenden Beurteilungsspielraum in rechtmässiger, insbesondere verhältnismässiger und rechtsgleicher Weise zu nutzen. Es muss die Zulassung erteilen, wenn die Gesuchstellerin mit ihrer Dokumentation beweisen kann, dass das Präparat den Qualitätsanforderungen entspricht, relativ sicher und wirksam ist - und es darf die Zulassung nicht erteilen, wenn dieser Nachweis nicht erbracht wird (Art. 7 Abs. 2 der Verordnung vom 17. Oktober 2001 über die Arzneimittel [VAM, SR 812.212.21]; vgl. auch Botschaft des Bundesrates vom 1. März 1999 zu einem Bundesgesetz über Arzneimittel und Medizinprodukte [Botschaft HMG], BBl 1999 3453 ff.).</w:t>
      </w:r>
    </w:p>
    <w:p>
      <w:r>
        <w:rPr>
          <w:b/>
        </w:rPr>
        <w:t>E. 5.4</w:t>
      </w:r>
    </w:p>
    <w:p>
      <w:r>
        <w:t>Nach Art. 58 Abs. 1 und 2 HMG überwacht das Institut im Rahmen seiner Zuständigkeit unter anderem die Rechtmässigkeit der Herstellung, des Vertriebs und der Abgabe von Heilmitteln. Das Institut überprüft die in Verkehr gebrachten Heilmittel. Es überprüft die Arzneimittel auf ihre Über­einstimmung mit der Zulassung.</w:t>
      </w:r>
    </w:p>
    <w:p>
      <w:r>
        <w:rPr>
          <w:b/>
        </w:rPr>
        <w:t>E. 5.5.1</w:t>
      </w:r>
    </w:p>
    <w:p>
      <w:r>
        <w:t>Gestützt auf diese Regelungen ist swissmedic eine Behörde, welche mit hoheitlicher Macht für die Zulassung und die Marktüberwachung von Heilmitteln ausgestattet ist. In diesem Rahmen verbleibt dem Institut für die Erteilung von Auskünften bis zur Beratung von Privaten nur ein enger Spielraum (vgl. Art. 69 Abs. 2 HMG und Botschaft HMG BBl 1999 3552).</w:t>
      </w:r>
    </w:p>
    <w:p>
      <w:r>
        <w:rPr>
          <w:b/>
        </w:rPr>
        <w:t>E. 5.5.2</w:t>
      </w:r>
    </w:p>
    <w:p>
      <w:r>
        <w:t>Die Aufgabe des Instituts besteht somit unter anderem darin, zugelassene Arzneimittel periodisch zu überprüfen und bei Abweichungen allenfalls Bewilligungen zu sistieren oder entziehen (Art. 9 ff. HMG). Im Rahmen der rechtlichen Vorgaben ist es einer Zulassungsinhaberin demnach nicht erlaubt, ein dem HMG unterstelltes zugelassenes Arzneimittel ohne Durchlaufen eines Änderungsverfahrens in Eigenregie abzuändern. Nachdem das Institut demnach Diskrepanzen zwischen der zugelassenen Zusammensetzung gemäss der Volldeklaration vom 30. Juni 2004 und der neu eingereichten Deklaration vom 30. November 2006 festgestellt hatte (vgl. SM 31 ff.), hatte die Beschwerdeführerin zur Wiederherstellung des rechtmässigen Zustands grundsätzlich die Wahl, entweder zur alten Zusammensetzung gemäss der Bewilligung nach der Volldeklaration vom 30. Juni 2004 zurückzukehren, oder eine gewünschte Änderung - welcher Art auch immer - in einem Änderungsverfahren zu beantragen, oder das Präparat vom Markt zu nehmen. Ihre Behauptung, die Vorinstanz habe die Gesuchseinreichung veranlasst, kann deshalb nicht gehört werden.</w:t>
      </w:r>
    </w:p>
    <w:p>
      <w:r>
        <w:rPr>
          <w:b/>
        </w:rPr>
        <w:t>E. 5.5.3</w:t>
      </w:r>
    </w:p>
    <w:p>
      <w:r>
        <w:t>Das Institut kann indessen - wie die Vorinstanz in ihrer Vernehmlassung grundsätzlich zu Recht ausführt (B-act. 6.1 S. 4) - (zukünftige) Zulassungsinhaberinnen nicht eingehend und detailliert darin beraten, wie sie ein zuzulassendes bzw. in Überprüfung stehendes Arzneimittel konzipieren bzw. anpassen sollen, da swissmedic in der Folge über die Zulassung des Arzneimittels entscheidet (siehe hievor E. 5.5.1). Entsprechend liegt die Konzeption eines Heilmittels vollumfänglich in der Disposition der (zukünftigen) Zulassungsinhaberin. Dies gilt grundsätzlich für alle dem HMG unterstehenden Arzneimittel (vgl. Art. 4 Abs. 1 Bst. a HMG).</w:t>
      </w:r>
    </w:p>
    <w:p>
      <w:r>
        <w:rPr>
          <w:b/>
        </w:rPr>
        <w:t>E. 6</w:t>
      </w:r>
    </w:p>
    <w:p>
      <w:r>
        <w:t>Der in Art. 5 Abs. 3 und Art. 9 BV verankerte Grundsatz von Treu und Glauben schützt den Bürger in seinem berechtigten Vertrauen auf behördliches Verhalten. In der Form des sog. Vertrauensschutzes verleiht er den Privaten einen Anspruch auf Schutz ihres berechtigten Vertrauens in das bestimmte Erwartungen begründende Verhalten der Behörden. Als Verbot widersprüchlichen Verhaltens verbietet der Grundsatz von Treu und Glauben sowohl den staatlichen Behörden wie auch den Privaten, sich in ihren öffentlich-rechtlichen Rechtsbeziehungen widersprüchlich oder rechtsmissbräuchlich zu verhalten. Für Behörden im Verhältnis zu Privaten bedeutet dies, dass sie insbesondere nicht einen einmal in einer bestimmten Angelegenheit eingenommenen Standpunkt ohne sachlichen Grund wechseln dürfen. Wenn die Privaten auf das ursprüngliche Verhalten der Behörden vertraut haben, stellt ein widersprüchliches Verhalten dieser Behörden eine Verletzung des Vertrauensschutzprinzips gemäss Art. 9 BV dar. Die Behörde darf jedenfalls nur unter bestimmten Voraussetzungen auf eine durch ihr ursprüngliches Verhalten geschaffene Vertrauensgrundlage zurückkommen oder an die von ihr selbst veranlasste Vertrauensbetätigung eines Privaten Nachteile knüpfen (vgl. Häfelin/ Müller/Uhlmann, a.a.O., Rz. 622 f., 707 f. mit Hinweisen sowie ausführlich Thomas Gächter, Rechtsmissbrauch im öffentlichen Recht, 2005, S. 190-192 m.w.H. und Verweis auf VPB 60.81 E. 3a/bb mit analoger Anwendung der Vertrauensschutzvoraussetzungen bei widersprüchlichem Verhalten von Behörden gegenüber Privaten [Fn. 514]).</w:t>
      </w:r>
    </w:p>
    <w:p>
      <w:r>
        <w:rPr>
          <w:b/>
        </w:rPr>
        <w:t>E. 7.1</w:t>
      </w:r>
    </w:p>
    <w:p>
      <w:r>
        <w:t>Im vorliegenden Fall hat das Institut die Beschwerdeführerin in einer ersten Phase darin beraten, wie ihre X.________ und ihre weiteren Arzneimittel in Zukunft konzipiert sein sollen, obwohl dies - wie sie selbst einräumt - nicht ihre Aufgabe war und sie "an die Grenzen des vertretbaren Beratungsaufwandes gegangen ist". Letzteres trifft sicher zu. Die Beschwerdeführerin hat im Laufe des ganzen Verfahrens vertrauend auf die Hilfe des Instituts mehrfach Fragen zur Konzeption des Arzneimittels gestellt (SM 7 ff., 39 ff., 75 ff.), welche ihr ausführlich beantwortet wurden (SM 67 ff., 81 ff.). Zudem wurde ihr offenbar auch die Frist zur Einreichung ihres Gesuchs für das W._______-Monopräparat mehrfach erstreckt (vgl. SM 84 f., Fristerstreckungen nicht aktenkundig), sodass sie das Gesuch erst am 26. Februar 2010 einreichte (SM 85 f.) und am 26. Juli 2010 - wiederum nach formaler Beanstandung - ergänzte (SM 89 ff.), obwohl die Zulassung ihrer X._______ gemäss Bewilligung 2004 bereits am 7. Dezember 2009 abgelaufen war, die Zulassung aber vorerst nicht sistiert wurde (SM 69 f.; vgl. hiezu Beschwerdeverfahren C-1453/2013).</w:t>
      </w:r>
    </w:p>
    <w:p>
      <w:r>
        <w:rPr>
          <w:b/>
        </w:rPr>
        <w:t>E. 7.2</w:t>
      </w:r>
    </w:p>
    <w:p>
      <w:r>
        <w:t>Kurz nach Einreichung des Gesuchs am 26. Februar 2010, bei dessen Erstellung die Beschwerdeführerin sich nach den Hinweisen und Auskünften von swissmedic gerichtet hatte und auch auf die Richtigkeit dieser Hilfestellungen vertrauen durfte, machte der Leiter Task Force Avance anlässlich eines zweiten Treffens der Beschwerdeführerin bei swissmedic am 8. März 2010 (welches nicht aktenkundig ist) eine Aussage, die - jedenfalls in der Wahrnehmung der Beschwerdeführerin - der ursprünglichen Empfehlung von swissmedic, eine W._______-haltige Y.________ zu konzipieren, widersprach und in der Stellungnahme vom 27. September 2010 schriftlich bestätigt wurde (SM 127).</w:t>
      </w:r>
    </w:p>
    <w:p>
      <w:r>
        <w:rPr>
          <w:b/>
        </w:rPr>
        <w:t>E. 7.3</w:t>
      </w:r>
    </w:p>
    <w:p>
      <w:r>
        <w:t>Auch wenn sich diese Meinungsäusserung - gegen ein Belassen von V._______ und U.________ in den X._______ sei prima vista nichts einzuwenden, diese beiden Substanzen hätten eine lange Tradition als Bestandteile von oralen Medikamenten, die zur Behandlung von Erkältungskrankheiten empfohlen würden - im Kontext des laufenden Änderungsverfahrens als vage erweist und der Leiter Task Force Avance hier auch keine (vorbehaltlose) Zusage machte, widersprach dies offensichtlich den fachspezifischen Empfehlungen, die das Institut der Beschwerdeführerin zuvor im laufenden Verfahren abgegeben hatte. Die Beschwerdeführerin durfte diese Aussage aufgrund der hievor dargelegten Vertrauenssituation so verstehen, dass swissmedic nunmehr auch die ursprüngliche Fassung ihrer X.________ als zulassungsfähig erachtete, und hat in der Folge nachvollziehbar entschieden, auf der Grundlage ihrer ursprünglichen X.________, die sie nach zwanzig Jahren auf dem Markt ohnehin in eine aktualisierte Form habe bringen wollen (vgl. SM 7 ff., 39), auf dem Markt zu bleiben und die von swissmedic vorgeschlagene Änderung in ein W.________-Monopräparat aufzugeben. Swissmedic hat im Nachgang zum vorliegenden Beschwerdeverfahren hierzu sinngemäss ausgeführt, dass sie der Beschwerdeführerin Hilfe dabei habe leisten wollen, ihr Produkt X._______ A._______ korrekt - und in absehbarer Frist - an die gesetzlichen Voraussetzungen anzupassen, weshalb sie ihr die gleiche Formulierung für die Y.________ wie für den schon vorhandenen Z.________ vorgeschlagen habe (vgl. Beschwerdeverfahren C-568/2013 act. 8 S. 6 Rz. 3). Unklar bleibt, inwieweit die Beschwerdeführerin dieses Ziel des Instituts im Rahmen der dargelegten Situation nachvollziehen konnte.</w:t>
      </w:r>
    </w:p>
    <w:p>
      <w:r>
        <w:rPr>
          <w:b/>
        </w:rPr>
        <w:t>E. 7.4</w:t>
      </w:r>
    </w:p>
    <w:p>
      <w:r>
        <w:t>Vorliegend hat das Institut mit seiner Beratungstätigkeit eine Vertrauensgrundlage für die Beschwerdeführerin geschaffen. Zudem hat es in der Folge - für die betroffene nicht rechtskundige Beschwerdeführerin nicht erkennbar - eine der bisherigen Beratung widersprüchliche Haltung kundgetan. Bezeichnenderweise äussert sich das Institut im vorliegenden Beschwerdeverfahren hiezu nicht ansatzweise; zudem findet sich in den Vorakten - anders als für das Treffen vom 4. Mai 2007 - auch kein internes Protokoll. Jedenfalls durfte die Beschwerdeführerin unter den vorliegend gegebenen Umständen berechtigterweise auf die - als Meinungsänderung von swissmedic verstandene - Äusserung vom 8. März 2010 vertrauen, zumal sie diese am 27. September 2010 auch schriftlich bestätigt hat.</w:t>
      </w:r>
    </w:p>
    <w:p>
      <w:r>
        <w:rPr>
          <w:b/>
        </w:rPr>
        <w:t>E. 7.5</w:t>
      </w:r>
    </w:p>
    <w:p>
      <w:r>
        <w:t>Demnach stehen die widersprüchlichen Aussagen von swissmedic in einem direkten Zusammenhang mit dem Vorgehen der Beschwerdeführerin und ihrem Entscheid vom Herbst 2010, weiterhin eine X._______ als Kombinationspräparat anzubieten und nicht auf eine reine (...)-Y.________ als W._______-Monopräparat umzustellen. Daraus ergibt sich, dass die Vorinstanz im Nachgang zu den erteilten, sich widersprechenden Auskünften und Empfehlungen und der darin begründeten Konzeptänderung der Beschwerdeführerin, gestützt auf das Prinzip von Treu und Glauben, an die von ihr selbst verursachte Vertrauensbetätigung keine Nachteile für die Beschwerdeführerin knüpfen durfte. Deshalb kann im Nachgang zur Mitteilung vom 2. November 2010, der Antrag für das Monopräparat sei nicht weiter zu prüfen, keine Gebühr für einen Gesuchsrückzug erhoben werden. Dabei kann offen bleiben, ob das am 26. Februar 2010 gestellte Änderungsgesuch zurückgezogen oder nur modifiziert wurde. Jedenfalls ist die Prüfung der Zulassung der X._______ A._______ Zul.-Nr. (...) nicht abgeschlossen (siehe hienach E. 7.7). Demnach wird der von der Vorinstanz zu Recht erwähnte hohe Verwaltungsaufwand - soweit er vom gesetzlichen Aufgabenbereich von swissmedic gedeckt war - im Rahmen der Gebührenerhebung im noch hängigen Abänderungsverfahren zu berücksichtigen sein, worauf die Beschwerdeführerin in ihrer Replik zutreffend hinweist.</w:t>
      </w:r>
    </w:p>
    <w:p>
      <w:r>
        <w:rPr>
          <w:b/>
        </w:rPr>
        <w:t>E. 7.6</w:t>
      </w:r>
    </w:p>
    <w:p>
      <w:r>
        <w:t>Von der Beschwerdeführerin, als langjährige Zulassungsinhaberin von Arzneimitteln ist einerseits zu verlangen, dass sie die Zulassungsvoraussetzungen gemäss HMG, soweit diese sie betreffen, kennt und eigenständig umzusetzen vermag (nötigenfalls unter Beratung durch Experten und Einholen privater Gutachten); dies gilt für (...)- bzw. X._______ gleichermassen wie für alle dem HMG unterstellten Arzneimittel, gerade wenn das Arzneimittel den grundsätzlich rezeptpflichtigen Arzneistoff W.________ enthalten soll. Anderseits ist aus den oben erwähnten Gründen zu Gunsten der Beschwerdeführerin zu entscheiden, da es nicht angeht, dass verschiedene Abteilungen der Zulassungsbehörde einer Gesuchstellerin gegensätzliche Empfehlungen abgeben und erkennbar die weitere Zulassung von der Beachtung der vorinstanzlichen Empfehlungen abhängig machen.</w:t>
      </w:r>
    </w:p>
    <w:p>
      <w:r>
        <w:rPr>
          <w:b/>
        </w:rPr>
        <w:t>E. 7.7</w:t>
      </w:r>
    </w:p>
    <w:p>
      <w:r>
        <w:t>Der Vollständigkeit halber ist darauf hinzuweisen, dass die Frage nach der konkreten Ausgestaltung und Zulassung der X._______ A._______ Zul.-Nr. (...) im vorliegenden Verfahren nicht zu beurteilen ist. Festzuhalten bleibt, dass trotz dieses Ausgangs des Verfahrens die Beschwerdeführerin nicht darauf vertrauen durfte, ihr Zulassungsgesuch (beschwerdeweise hängig im Verfahren C-568/2013) sei gestützt auf die Aussage vom 8. März 2010 ohne weiteres (auch) bewilligungsfähig, zumal die Zulassung auf verschiedene Prüfungsverfahren abzustützen ist (vgl. insbesondere E. 5.1) und offensichtlich nicht auf mündliche Zusicherungen abgestützt werden kann. Dasselbe gilt für die noch zu beurteilende Beschwerde im Verfahren C-1456/2013 betreffend X._______ A._______ (Verlängerung der aktuell geltenden Zulassung).</w:t>
      </w:r>
    </w:p>
    <w:p>
      <w:r>
        <w:rPr>
          <w:b/>
        </w:rPr>
        <w:t>E. 7.8</w:t>
      </w:r>
    </w:p>
    <w:p>
      <w:r>
        <w:t>Zusammenfassend ergibt sich, dass die Vorinstanz der Beschwerdeführerin mit Verfügung vom 20. Januar 2011 zu Unrecht eine Gebühr von Fr. 500.- auferlegt hat. Die Beschwerde ist demnach, soweit darauf einzutreten ist, gutzuheissen und die angefochtene Verfügung aufzuheben.</w:t>
      </w:r>
    </w:p>
    <w:p>
      <w:r>
        <w:rPr>
          <w:b/>
        </w:rPr>
        <w:t>E. 8</w:t>
      </w:r>
    </w:p>
    <w:p>
      <w:r>
        <w:t>Zu befinden bleibt über die Verfahrenskosten und eine allfällige Parteientschädigung.</w:t>
      </w:r>
    </w:p>
    <w:p>
      <w:r>
        <w:rPr>
          <w:b/>
        </w:rPr>
        <w:t>E. 8.1</w:t>
      </w:r>
    </w:p>
    <w:p>
      <w:r>
        <w:t>Gemäss Art. 63 Abs. 1 VwVG werden die Verfahrenskosten in der Regel der unterliegenden Partei auferlegt. Gemäss Art. 63 Abs. 2 Satz 1 VwVG werden den Vorinstanzen und beschwerdeführenden unterliegenden Bundesbehörden keine Verfahrenskosten auferlegt. Entsprechend dem Verfahrensausgang ergibt sich ein Obsiegen der Beschwerdeführerin, soweit auf die Beschwerde einzutreten ist (oben E. 3.1.4). Der Beschwerdeführerin sind deshalb keine Verfahrenskosten aufzuerlegen. Der am 8. März 2011 geleistete Kostenvorschuss von Fr. 500.- ist ihr nach Eintritt der Rechtskraft des vorliegenden Urteils zurückzuerstatten. Der unterliegenden Vorinstanz sind keine Verfahrenskosten aufzuerlegen.</w:t>
      </w:r>
    </w:p>
    <w:p>
      <w:r>
        <w:rPr>
          <w:b/>
        </w:rPr>
        <w:t>E. 8.2</w:t>
      </w:r>
    </w:p>
    <w:p>
      <w:r>
        <w:t>Der obsiegenden, nicht vertretenen Beschwerdeführerin sind keine notwendigen und verhältnismässig hohen Kosten im Sinne von Art. 64 Abs. 1 VwVG entstanden, weshalb ihr keine Parteientschädigung zuzusprechen ist. Die unterliegende Vorinstanz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