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C-1220/2008 vom 4. August 2011</w:t>
      </w:r>
    </w:p>
    <w:p>
      <w:r>
        <w:t>Bundesverwaltungsgericht, 2011-08-04, DE</w:t>
      </w:r>
    </w:p>
    <w:p>
      <w:r>
        <w:rPr>
          <w:b/>
        </w:rPr>
        <w:t xml:space="preserve">Quelle: </w:t>
      </w:r>
      <w:r>
        <w:t>https://mcp.opencaselaw.ch/entscheid/bvger_C-1220_2008</w:t>
      </w:r>
    </w:p>
    <w:p>
      <w:r>
        <w:t>FR: TAF C-1220/2008 du 4 août 2011</w:t>
      </w:r>
    </w:p>
    <w:p>
      <w:r>
        <w:t>IT: TAF C-1220/2008 del 4 agosto 2011</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 sind als Adressaten bzw. Mitbetroffene zur Be­schwer­de legitimiert (Art. 48 Abs. 1 VwVG). Auf die im Übrigen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nicht publ. in: BGE 129 II 215). Inwieweit Rechtsänderungen zu berücksichtigen sind, hängt von der massgeblichen intertemporalen Regelung ab. Fehlt im Gesetz eine Übergangsbestimmung, so entscheidet das Bundesverwaltungsgericht auf­grund allgemeiner intertemporaler Grundsätze (André Moser / Mi­chael Beusch / Lorenz Kneubühler, Prozessieren vor dem Bundesver­waltungsgericht, Basel 2008, Rz. 2.202 mit Hinweisen).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w:t>
      </w:r>
    </w:p>
    <w:p>
      <w:r>
        <w:rPr>
          <w:b/>
        </w:rPr>
        <w:t>E. 3.1</w:t>
      </w:r>
    </w:p>
    <w:p>
      <w:r>
        <w:t>Der Entscheid über die Erteilung und Verlängerung von Aufent­halts­be­willigungen fällt grundsätzlich in die Zuständigkeit der Kantone (Art. 15 Abs. 1 und 2 ANAG). Vorbehalten bleibt die Zustimmung des BFM zu bewil­ligungsgewährenden Entscheiden, wenn das Ausländer­recht eine sol­che für not­wendig erklärt (Art. 18 ANAG). Gemäss Arti­kel 1 Absatz 1 Zu­stim­mungsverordnung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ANAG). Eine Bindung an die kan­to­nale Beurteilung besteht nicht. Das Gesagte gilt selbst dann, wenn auf kan­tonaler Ebene ein Gericht auf Erteilung oder Verlängerung der Aufent­halts­bewilligung erkannt hat (vgl. grundlegend BGE 127 II 49 E. 3 S. 51 ff; ferner Entscheid des Eidg. Justiz- und Polizeidepartements vom 15. April 2005 E. 12 in: Ver­waltungspra­xis der Bundesbe­hörden [VPB] 69.76)</w:t>
      </w:r>
    </w:p>
    <w:p>
      <w:r>
        <w:rPr>
          <w:b/>
        </w:rPr>
        <w:t>E. 3.2</w:t>
      </w:r>
    </w:p>
    <w:p>
      <w:r>
        <w:t>In der vorliegenden Streitsache geht es um die Frage, ob die Auf­ent­haltsbewilligung, welche die Beschwerdeführerin im Rahmen des Familien­nachzugs kraft Ehe mit einem hier niedergelassenen Ausländer er­halten hatte, nach der Scheidung der Ehe zu verlängern ist. Die Zustim­mungsbedürftigkeit des kantonalen Verlängerungsentscheids ergibt sich deshalb aus Art. 1 Abs. 1 Bst. a Zustimmungsverordnung in Verbin­dung mit den Weisungen und Erläuterungen des BFM über Einreise, Aufenthalt und Arbeitsmarkt (aANAG-Weisungen, 3. Auflage, Bern, Mai 2006), wel­che in Ziff. 132.4 Bst. f vorsehen, dass die Verlängerung der Aufenthalts­be­willigung eines Ausländers oder einer Ausländerin nach Auflö­sung der ehelichen Gemeinschaft mit einem ausländischen Ehegat­ten oder nach dessen Tod dem BFM zur Zustimmung zu unterbreiten ist, falls der Ausländer oder die Ausländerin nicht aus einem Mitgliedstaat der EFTA oder der EG stammt. Nachfolgend ist zu untersuchen, ob sich die Be­schwerdeführerin auf einen Anspruch auf Verlängerung ihrer Auf­enthalts­bewilligung und damit zugleich auf Zustimmung zu deren Ver­länge­rung berufen kann. Sollte dies nicht der Fall sein, wäre in einem zwei­ten Schritt zu prüfen, ob die Verweigerung der Zustimmung in fehlerhaf­ter Ausfüllung des Ermessens ergangen oder unangemessen ist, soweit das geltende Recht Ermessensspielräume vorsieht (Art. 4 ANAG).</w:t>
      </w:r>
    </w:p>
    <w:p>
      <w:r>
        <w:rPr>
          <w:b/>
        </w:rPr>
        <w:t>E. 4</w:t>
      </w:r>
    </w:p>
    <w:p>
      <w:r>
        <w:t>Dem innerstaatlichen Gesetzesrecht lassen sich für die Beschwerdeführe­rin keine Ansprüche entnehmen, denn die eheliche Haus­haltgemein­schaft wurde aufgelöst, bevor ihr aus Art. 17 Abs. 2 Satz 2 ANAG ein von der Ehe unabhängiger Anspruch auf Ertei­lung einer Niederlassungs­bewilligung und damit auch auf Verlängerung der Aufenthaltsbewilligung erwachsen konnte (vgl. dazu BGE 130 II 49 E. 3.2 S. 53 ff.). Eine An­spruchs­grundlage kann wegen der in­tertemporalen Unterstellung unter das alte Recht auch nicht in Art. 50 AuG erblickt werden, der bei Auflö­sung der Ehe neue Anspruchstatbestände einführt (vgl. oben Ziff. 2.2, ferner Urteile des Bun­desgerichts 2C_245/2008 vom 27. März 2008 E. 2.1.2.1 und 2C_451/2007 vom 22. Januar 2008 E. 1.2).</w:t>
      </w:r>
    </w:p>
    <w:p>
      <w:r>
        <w:rPr>
          <w:b/>
        </w:rPr>
        <w:t>E. 5.1</w:t>
      </w:r>
    </w:p>
    <w:p>
      <w:r>
        <w:t>Art. 8 Ziff. 1 der Konvention vom 4. November 1950 zum Schutze der Menschenrechte und Grundfreiheiten (EMRK, SR 0.101) bzw. Art. 13 Abs. 1 der Bundesverfassung der Schweizerischen Eidgenossenschaft vom 18. April 1999 (BV, SR 101) (zum Verhältnis der beiden Normen zuein­ander vgl. BGE 126 II 377 E. 7 S. 394) garantiert den Schutz des Fami­lienlebens. Zwar vermittelt die EMRK nicht unmittelbar ein Recht auf Einreise und Aufenthalt. Hat ein Ausländer jedoch nahe Verwandte mit ge­festigtem Anwesenheitsrecht in der Schweiz (d.h. Schweizer Bürger­recht, Niederlassungsbewilligung oder eine Aufenthaltsbewilligung, auf die ein Rechtsanspruch besteht; vgl. dazu BGE 130 II 281 E. 3.1 S. 285 f.), ist die familiäre Beziehung intakt und wird sie tatsächlich gelebt, kann es gleichwohl Art. 8 EMRK verletzen, wenn ihm selbst der Aufenthalt in der Schweiz verweigert wird. Unter den Schutz von Art. 8 EMRK fällt im vor­liegenden ausländerrechtlichen Bewilligungskontext in erster Linie die Kernfamilie, d.h. die Gemeinschaft der Ehegatten mit ihren minderjähri­gen Kindern (BGE 135 I 143 E. 1.3.2 S. 146; BGE 127 II 60 E. 1d/aa S. 64 f.). Die Beziehung zu einem volljährigen Kind kann nur ausnahms­weise, wenn ein besonderes Abhängigkeitsverhältnis vorliegt, ein Anwesen­heitsrecht verschaffen (BGE 129 II 11 E. 2 S. 14; BGE 120 Ib 257 E. 1d und e S. 261).</w:t>
      </w:r>
    </w:p>
    <w:p>
      <w:r>
        <w:rPr>
          <w:b/>
        </w:rPr>
        <w:t>E. 5.2</w:t>
      </w:r>
    </w:p>
    <w:p>
      <w:r>
        <w:t>Die vier Kinder der Beschwerdeführerin erhielten durch Einbezug in das Aufenthaltsrecht ihres Vaters die Niederlassungsbewilligung (Art. 17 Abs. 2 ANAG). Das älteste Kind, die heute 18 Jahre alte und damit volljäh­rige Tochter B.X._______, hat zwischenzeitlich das Schweizer Bürger­recht erworben. Alle vier Kinder verfügen somit über ein gefestigtes Anwe­senheitsrecht im Sinne der Rechtsprechung. Ihre Beziehung zur Be­schwerdeführerin, bei der sie leben und unter deren allei­nigem Sorge­recht sie - soweit nicht volljährig - stehen, ist intakt. Bei dieser Sachlage steht ausser Frage, dass jedenfalls das Verhält­nis zwischen der Beschwer­deführerin und ihren drei jüngeren, noch minderjährigen Kin­dern vom Schutzbereich des Art. 8 Ziff. 1 EMRK erfasst ist. Anders verhält es sich im Verhältnis zur 18-jährigen Tochter B.X._______: Diese schied mit dem Erreichen der Volljährigkeit aus der Kernfamilie aus. Ein besonderes Abhängigkeitsverhältnis namentlich in Form qualifizierter Betreuungs- oder Pflegebedürfnisse (wie bei körperlichen oder geistigen Behinderun­gen und schwerwiegenden Krankheiten, vgl. BGE 120 Ib 257 E. 1e S. 261), das zwischen ihr und der Beschwerdeführerin im Kontext des Bewilli­gungsverfahrens eine Berufung auf Art. 8 EMRK trotz Volljährigkeit gestatten würde, wird weder geltend gemacht noch ist ein solches ersicht­lich.</w:t>
      </w:r>
    </w:p>
    <w:p>
      <w:r>
        <w:rPr>
          <w:b/>
        </w:rPr>
        <w:t>E. 5.3</w:t>
      </w:r>
    </w:p>
    <w:p>
      <w:r>
        <w:t>Das Recht auf Achtung des Familienlebens gemäss Art. 8 Ziff. 1 EMRK gilt indessen nicht absolut. Nach Art. 8 Ziff. 2 EMRK ist ein Eingriff zulässig, wenn er gesetzlich vorgesehen ist und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Sinne überwiegen müssen, dass sich der Eingriff als notwendig erweist (vgl. BGE 135 I 153 E. 2.2.1 S. 156; BGE 135 I 143 E. 2.1 S. 147; BGE 122 II 1 E. 2 S. 6; BGE 116 Ib 353 E. 3 S. 357 ff.). Als legitimes öffentli­ches Interesse im Sinne von Art. 8 Ziff. 2 EMRK gilt unter anderem die Durchsetzung einer restriktiven Einwanderungspolitik.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(BGE 135 I 153 E. 2.2.1 S. 156; BGE 135 I 143 E. 2.2 S. 147). Analoge Voraussetzungen ergeben sich aus Art. 36 BV im Hinblick auf ei­nen Eingriff in Art. 13 Abs. 1 BV.</w:t>
      </w:r>
    </w:p>
    <w:p>
      <w:r>
        <w:rPr>
          <w:b/>
        </w:rPr>
        <w:t>E. 5.4</w:t>
      </w:r>
    </w:p>
    <w:p>
      <w:r>
        <w:t>Im Rahmen der Beurteilung des Eingriffscharakters einer staatlichen Massnahme und ihrer Rechtfertigung ist zu berücksichtigten, dass die Kon­ventionsgarantie des Art. 8 Ziff. 1 EMRK das Familienleben als sol­ches schützt und nicht die freie Wahl des Ortes, an dem es realisiert wer­den soll (BGE 130 II 281 E. 3.1 S. 285; BGE 126 II 335 E. 3a S. 342; je mit Hinweisen; vgl. Jens Meyer-Ladewig, Europäische Menschenrechtskon­vention, Handkom­mentar, 3. Aufl., Baden-Baden 2011, Rz. 68 zu Art. 8 mit Hinweisen). Muss deshalb eine ausländische Per­son, der eine ausländerrechtliche Bewilligung verweigert wurde, das Land verlassen, haben dies ihre Familienangehörigen grundsätzlich hinzu­nehmen, wenn es ihnen "ohne Schwierigkeiten" möglich ist, mit ihr aus­zureisen; eine Interessenabwägung nach Art. 8 Ziff. 2 EMRK erübrigt sich in diesem Fall (bzw. es kann angenommen werden, dass im Falle der Zumutbarkeit der Ausreise das allgemeine öffentliche Interesse an ei­ner restriktiven Einwanderung im Rahmen der Interessenabwägung den Ausschlag gibt; vgl. dazu Urteil des Bundesverwaltungsgerichts C-7331/2007 vom 9. Mai 2008 E. 5.2.1.1 mit Hinweisen). Anders verhält es sich, falls die Ausreise für die Familienangehörigen "nicht von vornherein ohne Weiteres zumutbar" erscheint. In diesem Fall ist immer eine Interes­senabwägung nach Art. 8 Ziff. 2 EMRK geboten, welche sämtlichen Umstän­den des Einzelfalls Rechnung trägt (zur Publikation bestimmtes Ur­teil des Bundesgerichts 2C_327/2010 vom 19. Mai 2011 E. 4.1.2).</w:t>
      </w:r>
    </w:p>
    <w:p>
      <w:r>
        <w:rPr>
          <w:b/>
        </w:rPr>
        <w:t>E. 5.5</w:t>
      </w:r>
    </w:p>
    <w:p>
      <w:r>
        <w:t>Bei Kindern im anpassungsfähigen Alter geht die Rechtspre­chung ver­mutungsweise davon aus, dass es ihnen zugemutet werden kann, den Eltern oder dem sorgeberechtig­ten Elternteil ins Ausland zu folgen, auch wenn der ausländerrechtli­chen Zulassung der letzteren lediglich die Durch­setzung der restrikti­ven Migrationspolitik entgegensteht. Bei einem Kleinkind ist dies - be­sondere Umstände vorbehalten - regelmässig der Fall. Dahinter steht die Überlegung, dass das Kind vorerst keine selbständi­gen Beziehungen zu seinem weiteren Umfeld, zu einem bestimm­ten Land hat, sondern solche während der ersten Lebensjahre aus­schliesslich durch Vermittlung der Eltern ent­stehen. In neueren Entschei­den hat das Bundesgericht diese Rechtsprechung mit Blick auf die Vorgaben des Übereinkommens vom 20. November 1989 über die Rechte des Kindes (KRK; SR 0.107) und namentlich die verfassungsrechtli­chen Gebote staatsbürgerrechtlicher Natur (vgl. Art. 24 und 25 Abs. 1 BV) bei Schweizer Kindern relativiert (BGE 136 I 285 ff.; BGE 135 I 153 ff.). Sind die Kinder, wie es vorliegend der Fall ist, im Be­sitz der Niederlassungsbewilligung, gilt die dargestellte Rechtsprechung grundsätzlich weiter (zur Publikation bestimmtes Urteil des Bundesge­richts 2C_327/2010 vom 19. Mai 2011 E. 4.2.3). Diesfalls kann die Zumut­barkeit der Ausreise weiterhin für eine Bewilligungsverweigerung an den sorge- bzw. obhutsberechtigten Elternteil genügen.</w:t>
      </w:r>
    </w:p>
    <w:p>
      <w:r>
        <w:rPr>
          <w:b/>
        </w:rPr>
        <w:t>E. 5.6</w:t>
      </w:r>
    </w:p>
    <w:p>
      <w:r>
        <w:t>Die in der Schweiz geborene Tochter E.X._______ ist acht Jahre alt und wurde im August 2010 eingeschult. Sie befindet noch in einem anpassungs­fähigen Alter, in dem die persönliche Entwicklung stark an die Beziehung zu den Eltern gebunden ist, und die Eingliederung in ein neues Lebensumfeld erfahrungsgemäss keine besonderen Schwierigkei­ten bereitet. Anders verhält es sich mit den beiden minderjährigen Söh­nen. D.X._______ ist mit 14 Jahren an der Schwelle zur Adoleszenz und C.X._______ steht als 16½ -Jähriger mitten in dieser für die Entwicklung eines Men­schen zur sozialen Persönlichkeit wesentlichen Lebensphase. Sie besu­chen zur Zeit die 7. bzw. 8. Klasse der Sekundarstufe und sind im schu­lischen und ausserschulischen Bereich gut integriert. Beide Söhne sind in einem Alter in die Schweiz gelangt, in dem sie noch keine autono­men Beziehungen ausserhalb des engsten Familienkreises aufbauen konn­ten. Dies ge­schah in den nachfolgenden 9½ Jahren. In dieser Zeit konnten sie vielfältige Kontakte zum ausserfamiliären Umfeld knüpfen und vertie­fen. Namentlich beim 16½-jährigen C.X._______ dürfte dieser Pro­zess weit fortgeschritten sein. Unter den gegebenen Umständen kann keine Rede davon sein, dass es ihnen ohne Schwierigkeiten möglich wäre, der Beschwerdeführerin ins Ausland zu folgen. Eine erzwungene Auf­gabe des sozialen Umfelds und Rückkehr in die Heimat würde sie im Ge­genteil schwer treffen und vor ernste Integrationsprobleme stellen. Eine umfassende Interessenabwägung nach Art. 8 Ziff. 2 EMRK ist daher unerlässlich.</w:t>
      </w:r>
    </w:p>
    <w:p>
      <w:r>
        <w:rPr>
          <w:b/>
        </w:rPr>
        <w:t>E. 5.7</w:t>
      </w:r>
    </w:p>
    <w:p>
      <w:r>
        <w:t>Kann den Kindern der Beschwerdeführerin nicht ohne weiteres zuge­mutet werden, ihr ins Ausland zu folgen, so reicht das allgemeine öffentli­che Interesse an einer restriktiven Einwanderungspolitik für sich alleine nicht aus, um im Rahmen der nach Art. 8 Ziff. 2 EMRK geforderten Interes­senabwägung einen Eingriff in die Garantie des Familienlebens zu rechtfertigen. Hierzu bedürfte es besonderer - namentlich ordnungs- und si­cherheitspolizeilicher - Gründe, welche den weiteren Aufenthalt der Be­schwerdeführerin als "unerwünscht" erscheinen liesse. Solche sind nicht er­sichtlich. Die Beschwerdeführerin ist unbescholten, nimmt nebst der Betreuung und Versorgung ihrer Kinder drei Teilzeitstellen als Raumpflege­rin wahr, wird als Arbeitnehmerin und Person von ihrer Umge­bung geschätzt und kommt für den Lebensunterhalt der Familie bis auf ei­nen kleinen Fehlbetrag selbst auf. Dem Zwischenbericht ihrer Wohnge­meinde vom 3. März 2011 zufolge, der das Verantwortungsbewusstsein, den Fleiss und die Zuverlässigkeit der Beschwerdeführerin lobend hervor­hebt, dürfte eine ausländerrechtliche Regelung der Beschwerdeführerin ihre punktuell noch bestehende Sozialhilfeabhängigkeit ganz entfallen las­sen. Dem Situationsbericht und den ihn begleitenden Dokumenten kann entnommen werden, dass das Sozialhilfekonto der Beschwerdeführe­rin bereits im Jahr 2010 einen Überschuss aufwies und dass bestehende Schulden bei der Sozialhilfe auf rund 40'000 Franken ab­gebaut wurden. Die Leistungen der Beschwerdeführerin verdienen umso mehr Respekt und Anerkennung, als sie trotz widriger Rahmenbedin­gungen erbracht wurden.</w:t>
      </w:r>
    </w:p>
    <w:p>
      <w:r>
        <w:rPr>
          <w:b/>
        </w:rPr>
        <w:t>E. 6</w:t>
      </w:r>
    </w:p>
    <w:p>
      <w:r>
        <w:t>Aus den vorstehenden Erwägungen ergibt sich, dass die angefochtene Ver­fügung gegen Art. 8 EMRK bzw. Art. 13 Abs. 1 BV verstösst. Sie ist da­her in Gutheissung der Beschwerde aufzuheben, und der Verlängerung der kantonalen Aufenthaltsbewilligung ist die Zustimmung zu erteilen.</w:t>
      </w:r>
    </w:p>
    <w:p>
      <w:r>
        <w:rPr>
          <w:b/>
        </w:rPr>
        <w:t>E. 7</w:t>
      </w:r>
    </w:p>
    <w:p>
      <w:r>
        <w:t>Bei diesem Ausgang des Verfahrens sind keine Verfahrenskosten aufzuerle­gen (Art. 63 Abs. 1 und 2 VwVG), und es ist den Beschwerdefüh­rern ge­stützt auf Art. 64 VwVG zu Lasten der Vorin­stanz eine angemessene Parteientschädigung zuzusprechen. Diese ist in Anwendung von Art. 7 ff. des Reglements vom 21. Februar 2008 über die Kosten und Entschädigungen vor dem Bundesverwaltungsgericht (VGKE, SR 173.320.2) auf Fr. 2'000.- (MwSt. inkl.)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