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C-1217/2006 vom 15. Januar 2008</w:t>
      </w:r>
    </w:p>
    <w:p>
      <w:r>
        <w:t>Bundesverwaltungsgericht, 2008-01-15, DE</w:t>
      </w:r>
    </w:p>
    <w:p>
      <w:r>
        <w:rPr>
          <w:b/>
        </w:rPr>
        <w:t xml:space="preserve">Quelle: </w:t>
      </w:r>
      <w:r>
        <w:t>https://mcp.opencaselaw.ch/entscheid/bvger_C-1217_2006</w:t>
      </w:r>
    </w:p>
    <w:p>
      <w:r>
        <w:t>FR: TAF C-1217/2006 du 15 janvier 2008</w:t>
      </w:r>
    </w:p>
    <w:p>
      <w:r>
        <w:t>IT: TAF C-1217/2006 del 15 gennaio 2008</w:t>
      </w:r>
    </w:p>
    <w:p>
      <w:pPr>
        <w:pStyle w:val="Heading2"/>
      </w:pPr>
      <w:r>
        <w:t>Regeste</w:t>
      </w:r>
    </w:p>
    <w:p>
      <w:r>
        <w:t>Bürgerrecht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erleichterte Einbürgerung gemäss Art. 27 i.V.m. Art. 32 des Bürgerrechtsgesetzes vom 29. September 1952 [BüG, SR 141.0]).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das Gesetz nichts anderes bestimmt.</w:t>
      </w:r>
    </w:p>
    <w:p>
      <w:r>
        <w:rPr>
          <w:b/>
        </w:rPr>
        <w:t>E. 1.3</w:t>
      </w:r>
    </w:p>
    <w:p>
      <w:r>
        <w:t>Gemäss Art. 51 Abs. 2 BüG sind die betroffenen Kantone und Gemeinden zur Beschwerde gegen letztinstanzliche Verfügungen der Kantone und gegen Entscheide der Verwaltungsbehörden des Bundes berechtigt. Die Stadt Freiburg ist somit als Wohngemeinde des Gesuchstellers zur Beschwerde legitimiert. Auf die frist- und formgerecht eingereichte Beschwerde ist deshalb einzutreten (Art. 48 ff. VwVG).</w:t>
      </w:r>
    </w:p>
    <w:p>
      <w:r>
        <w:rPr>
          <w:b/>
        </w:rPr>
        <w:t>E. 2</w:t>
      </w:r>
    </w:p>
    <w:p>
      <w:r>
        <w:t>Mit der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Für das Bundesverwaltungsgericht ist grundsätzlich die Sach- und Rechtslage zum Zeitpunkt seines Entscheides massgebend (vgl. E. 1.2 des in BGE 129 II 215 teilweise publizierten Urteils des Bundesgerichts 2A.451/2002 vom 28. März 2003).</w:t>
      </w:r>
    </w:p>
    <w:p>
      <w:r>
        <w:rPr>
          <w:b/>
        </w:rPr>
        <w:t>E. 3.1</w:t>
      </w:r>
    </w:p>
    <w:p>
      <w:r>
        <w:t>Gemäss Artikel 27 Absatz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Artikel 26 Absatz 1 BüG voraus, dass er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(BGE 132 ll 113 E. 3.2 S. 115, BGE 130 ll 482 E. 2 S. 483 f. mit Hinweisen, BGE 128 ll 97 E. 3a S. 98 f.).</w:t>
      </w:r>
    </w:p>
    <w:p>
      <w:r>
        <w:rPr>
          <w:b/>
        </w:rPr>
        <w:t>E. 4</w:t>
      </w:r>
    </w:p>
    <w:p>
      <w:r>
        <w:t>Die Stadt Freiburg widersetzt sich der erleichterten Einbürgerung u. a. deshalb, weil sie der Ansicht ist, ihr hätte vor der Einbürgerung des Gesuchstellers rechtliches Gehör gewährt werden müssen. Die erleichterte Einbürgerung fällt in die ausschliessliche Zuständigkeit des Bundes (vgl. Art. 32 BüG), der mit seinem Entscheid unmittelbar ein Kantons- und Gemeindebürgerrecht verleiht (vgl. etwa Art. 27 Abs. 2 BüG). Anders verhält es sich im Verfahren betreffend ordentliche Einbürgerung: Hier sind es - vorbehältlich der Einbürgerungsbewilligung durch den Bund - die Kantone und Gemeinden, die darüber entscheiden, ob und wann ein Ausländer das Gemeinde- und Kantonsbürgerrecht und damit auch das Schweizer Bürgerrecht erhält (Art. 12 Abs. 1 und 2 BüG). Dass Art. 32 BüG für das Verfahren um erleichterte Einbürgerung explizit eine Anhörung des Kantons, nicht aber der Gemeinde vorsieht, stellt klar, dass während des laufenden Verfahrens kein entsprechendes Anhörungsrecht der Gemeinde existiert. Demgegenüber steht der betroffenen Gemeinde jedoch gemäss Art. 51 Abs. 2 BüG das Rechtsmittel der Beschwerde offen.</w:t>
      </w:r>
    </w:p>
    <w:p>
      <w:r>
        <w:rPr>
          <w:b/>
        </w:rPr>
        <w:t>E. 5</w:t>
      </w:r>
    </w:p>
    <w:p>
      <w:r>
        <w:t>In materieller Hinsicht macht die Gemeinde Freiburg geltend, der Vorfall vom 3. Januar 2006 habe gezeigt, dass AX._______ die schweizerische Rechtsordnung missachte und demzufolge auch seine Integration fraglich sei. Die in Art. 26 Abs. 1 Bst. b BüG genannte Einbürgerungsvorausetzung der Beachtung der schweizerischen Rechtsordnung bedeutet, dass der Gesuchsteller einen guten straf- und betreibungsrechtlichen Leumund haben muss (vgl. hierzu die Botschaft zur Änderung des Bürgerrechtsgesetzes vom 26. August 1987, BBl 1987 lll 305 u. 309). Praxisgemäss wird von ihm verlangt, dass er in den letzten fünf Jahren vor der erleichterten Einbürgerung die Rechtsordnung der Schweiz sowie allfälliger anderer Aufenthaltsstaaten eingehalten hat. Ferner dürfen keine ungelöschten Vorstrafen vorliegen und keine Strafverfahren in der Schweiz oder in anderen Staaten gegen ihn hängig sein. Gelöschte Einträge sind hingegen nicht mehr relevant. Darüber hinaus darf der Betroffene generell keine Delikte begangen haben, für welche er auch heute noch eine Strafverfolgung oder eine Verurteilung zu gewärtigen hat. Schliesslich sollen weder hängige Betreibungen noch Steuerausstände bestehen (ausgenommen, wenn entsprechende Steuervereinbarungen getroffen wurden) und es dürfen in den der erleichterten Einbürgerung vorangehenden fünf Jahren keine Verlustscheine ausgestellt worden sein (vgl. Inhalt des verwendeten Formulars über die Beachtung der Rechtsordnung sowie Urteil des Bundesverwaltungsgerichts C-1216/2006 vom 9. November 2007).</w:t>
      </w:r>
    </w:p>
    <w:p>
      <w:r>
        <w:rPr>
          <w:b/>
        </w:rPr>
        <w:t>E. 5.1</w:t>
      </w:r>
    </w:p>
    <w:p>
      <w:r>
        <w:t>Zur Präzisierung ihres Vorwurfs, AX._______ missachte die schweizerische Rechtsordnung, hat die Stadt Freiburg ihrer Beschwerde eine Kopie der vom Leiter des städtischen Sozialamts am 9. Januar 2006 erhobenen Strafanzeige beigefügt. Diese schildert, dass AX._______ am 3. Januar 2006 beim Sozialamt die Auszahlung der Invalidenrente für seine Ehefrau verlangt habe, obwohl das Sozialamt mit diesem Betrag die Miete und Krankenversicherung bezahle. AX._______ sei mit dieser Verrechnung nicht einverstanden gewesen und deswegen aggressiv und beleidigend geworden. Er habe herumgeschrieen und mehrmals mit der Faust auf den Tisch geschlagen. Der Aufforderung, das Amt zu verlassen, sei er erst gefolgt, nachdem man die Polizei gerufen habe.</w:t>
      </w:r>
    </w:p>
    <w:p>
      <w:r>
        <w:rPr>
          <w:b/>
        </w:rPr>
        <w:t>E. 5.2</w:t>
      </w:r>
    </w:p>
    <w:p>
      <w:r>
        <w:t>Die Abklärungen der Vorinstanz haben ergeben, dass AX._______ wegen des soeben geschilderten Vorfalls am 28. April 2006 zu einer siebentägigen Freiheitsstrafe verurteilt wurde. Bei den Abklärungen stellte sich auch heraus, dass das Strafregister - unter dem Namen AY._______ - eine weitere Verurteilung vom 20. März 2002 zu einer fünftägigen Freiheitsstrafe verzeichnete. Die Richtigkeit des auf den Aliasnamen lautenden Strafregisterauszugs wird von AX._______ auch nicht bestritten. Es steht somit ausser Frage, dass er vor seiner erleichterten Einbürgerung strafrechtlich in Erscheinung getreten ist.</w:t>
      </w:r>
    </w:p>
    <w:p>
      <w:r>
        <w:rPr>
          <w:b/>
        </w:rPr>
        <w:t>E. 6</w:t>
      </w:r>
    </w:p>
    <w:p>
      <w:r>
        <w:t>In seiner Stellungnahme vom 15. September 2006 vertritt der Rechtsvertreter AX._______s die Ansicht, sein Mandant habe sowohl im Zeitpunkt der Gesuchseinreichung, als er einen aktuellen Strafregisterauszug habe einreichen müssen, als auch im Zeitpunkt der Einbürgerungsverfügung sämtliche Voraussetzungen zur Einbürgerung erfüllt. Im Zeitpunkt der Verfügung - am 18. Mai 2006 - habe (noch) keine rechtskräftige strafrechtliche Verurteilung seines Mandanten vorgelegen. Zwar sei ein im Frühjahr 2006 gegen seinen Mandanten laufendes Strafverfahren mit Strafbefehl vom 28. April 2006 abgeschlossen worden. Der Strafbefehl sei aber frühestens am 29. Mai 2006 - und somit nach der Einbürgerungsverfügung - rechtskräftig geworden.</w:t>
      </w:r>
    </w:p>
    <w:p>
      <w:r>
        <w:rPr>
          <w:b/>
        </w:rPr>
        <w:t>E. 6.1</w:t>
      </w:r>
    </w:p>
    <w:p>
      <w:r>
        <w:t>Die Einbürgerungsvoraussetzung der Beachtung der schweizerischen Rechtsordnung (Art. 26 Abs. 1 Bst. b BüG) wird im Vorbringen des Parteivertreters fehlinterpretiert, denn bezüglich dieses Merkmals sind beide im Strafregister verzeichneten Verurteilungen AX._______s von Belang. Fest steht, dass im Zeitpunkt der Gesuchseinreichung am 1. April 2005 die am 20. März 2002 verhängte Gefängnisstrafe im Strafregister noch nicht gelöscht war. Dass diese Verurteilung unter dem Namen AY._______ registriert war, der Gesuchsteller jedoch anschliessend eine andere Schreibweise seines Namens verwendete und damit offensichtlich einen Strafregisterauszug ohne Eintragungen vorlegen konnte, spielt angesichts der unbestrittenen Identität der Person(en) keine Rolle. Der strafrechtliche Leumund AX._______s war damit eindeutig beschädigt. Gleiches gilt im Hinblick auf das strafbare Verhalten vom 3. Januar 2006, für welches AX._______ noch kurz vor seiner Einbürgerung zu einer weiteren Gefängnisstrafe verurteilt wurde. Es ist ohne Belang, dass diese Verurteilung erst nach Erlass der Einbürgerungsverfügung rechtskräftig wurde: Wie oben dargelegt (E. 5), verlangt die als Einbürgerungsvoraussetzung genannte Beachtung der schweizerischen Rechtsordnung unter anderem, dass im Zeitpunkt der Einbürgerung keine ungelöschten Vorstrafen vorliegen und keine Strafverfahren hängig sind. Beides war beim Gesuchsteller nicht der Fall, und es ist demzufolge unerheblich, dass die zweite strafbare Handlung erst nach der am 9. Dezember 2005 unterzeichneten Erklärung über die Beachtung der Rechtsordnung begangen wurde.</w:t>
      </w:r>
    </w:p>
    <w:p>
      <w:r>
        <w:rPr>
          <w:b/>
        </w:rPr>
        <w:t>E. 6.2</w:t>
      </w:r>
    </w:p>
    <w:p>
      <w:r>
        <w:t>Dass es sich bei den im Strafregister verzeichneten Verurteilungen um verhältnismässig geringfügige Strafen handelt, führt nicht dazu, dass das Merkmal der Beachtung der Rechtsordnung als erfüllt betrachtet werden kann. Es ist auch unerheblich, ob sich AX._______ der Bedeutung der von ihm diesbezüglich abgegebenen Erklärung bewusst war, denn dies wäre allenfalls im Rahmen eines Nichtigkeitsverfahrens gemäss Art. 41 BüG relevant. Im vorliegenden Verfahren geht es lediglich um die Frage, ob die in Art. 26 und 27 BüG genannten Voraussetzungen im Zeitpunkt der erleichterten Einbürgerung tatsächlich vorhanden waren.</w:t>
      </w:r>
    </w:p>
    <w:p>
      <w:r>
        <w:rPr>
          <w:b/>
        </w:rPr>
        <w:t>E. 7</w:t>
      </w:r>
    </w:p>
    <w:p>
      <w:r>
        <w:t>Zusammenfassend ist festzustellen, dass AX._______ im Zeitpunkt der Einbürgerungsverfügung die hierfür erforderliche Voraussetzung der Beachtung der schweizerischen Rechtsordnung nicht erfüllte. Die Beschwerde ist daher gutzuheissen und die Einbürgerungsverfügung der Vorinstanz vom 18. Mai 2006 aufzuheben.</w:t>
      </w:r>
    </w:p>
    <w:p>
      <w:r>
        <w:rPr>
          <w:b/>
        </w:rPr>
        <w:t>E. 8</w:t>
      </w:r>
    </w:p>
    <w:p>
      <w:r>
        <w:t>Die Verfahrenskosten sind grundsätzlich der unterliegenden Partei, nicht aber Vorinstanzen oder beschwerdeführenden und unterliegenden Bundesbehörden aufzuerlegen (vgl. Art. 63 Abs. 1 und 2 VwVG i.V.m. Art. 1, Art. 2 und Art. 3 Bst. b des Reglements vom 11. Dezember 2006 über die Kosten und Entschädigungen vor dem Bundesverwaltungsgericht [SR 173.320.2]). AX._______ hat als Beschwerdegegner am Verfahren teilgenommen und insbesondere die Abweisung der Beschwerde beantragt. Er ist demnach kostenpflichtig.</w:t>
      </w:r>
    </w:p>
    <w:p>
      <w:r>
        <w:rPr>
          <w:b/>
        </w:rPr>
        <w:t>E. 9</w:t>
      </w:r>
    </w:p>
    <w:p>
      <w:r>
        <w:t>Obsiegende Parteien haben Anspruch auf eine Parteientschädigung für die ihnen erwachsenen notwendigen Kosten (Art. 64 Abs. 1 VwVG i.V.m. Art. 7 Abs. 1 VGKE). Bundesbehörden und, in der Regel, andere Behörden, die als Partei auftreten, sind davon jedoch ausgenommen. Der mit ihrer Beschwerde obsiegenden Stadt Freiburg ist demzufolge keine Parteientschädigung auszurichten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