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C-1206/2020 vom 28. Oktober 2021</w:t>
      </w:r>
    </w:p>
    <w:p>
      <w:r>
        <w:t>Bundesverwaltungsgericht, 2021-10-28, FR</w:t>
      </w:r>
    </w:p>
    <w:p>
      <w:r>
        <w:rPr>
          <w:b/>
        </w:rPr>
        <w:t xml:space="preserve">Quelle: </w:t>
      </w:r>
      <w:r>
        <w:t>https://mcp.opencaselaw.ch/entscheid/bvger_C-1206_2020</w:t>
      </w:r>
    </w:p>
    <w:p>
      <w:r>
        <w:t>FR: TAF C-1206/2020 du 28 octobre 2021</w:t>
      </w:r>
    </w:p>
    <w:p>
      <w:r>
        <w:t>IT: TAF C-1206/2020 del 28 ottobre 2021</w:t>
      </w:r>
    </w:p>
    <w:p>
      <w:pPr>
        <w:pStyle w:val="Heading2"/>
      </w:pPr>
      <w:r>
        <w:t>Regeste</w:t>
      </w:r>
    </w:p>
    <w:p>
      <w:r>
        <w:t>Rentes</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une administrée directement touché par la décision attaquée (art. 48 PA et art. 59 LPGA), le recours du 28 février 2020 est recevable quant à la forme.</w:t>
      </w:r>
    </w:p>
    <w:p>
      <w:r>
        <w:rPr>
          <w:b/>
        </w:rPr>
        <w:t>E. 2</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3</w:t>
      </w:r>
    </w:p>
    <w:p>
      <w:r>
        <w:t>Le litige porte sur le montant de la rente de vieillesse de la recourante, en particulier sur la question de savoir si le partage des revenus réalisés durant les années de mariage de la recourante avec son ex-époux ainsi que le partage des bonifications pour tâches éducatives avec ce dernier a été effectuée à juste titre par l'autorité inférieure dans la décision litigieuse.</w:t>
      </w:r>
    </w:p>
    <w:p>
      <w:r>
        <w:rPr>
          <w:b/>
        </w:rPr>
        <w:t>E. 4</w:t>
      </w:r>
    </w:p>
    <w:p>
      <w:r>
        <w:t>S'agissant du droit matériel applicable, la cause présente un élément d'extranéité puisque la recourante, ressortissante suisse, est domiciliée en France et perçoit une rente de vieillesse suisse. Dans ces circonstances, est applicable l'accord du 21 juin 1999 sur la libre circulation des personnes (ALCP, RS 0.142.112.681) ainsi que ses annexes et règlements (en particulier : règlement n° 883/2004, RS 0.831.109.268.1, et n° 987/2009, RS 0.831.109.268.11), en particulier l'art. 4 du règlement 883/2004 selon lequel les personnes auxquelles il s'applique bénéficient des mêmes prestations et sont soumises aux mêmes obligations, en vertu de la législation de tout État membre, que les ressortissants de celui-ci. Néanmoins, le droit à des prestations de l'assurance vieillesse et survivants suisse se détermine exclusivement d'après le droit suisse (art. 52 du règlement n° 883/2004). Par ailleurs, il y a lieu en principe d'appliquer les règles de droit matériel en vigueur lors de la réalisation de l'état de fait qui doit être apprécié juridiquement ou qui a des conséquences juridiques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arrêts du TF 9C_25/2012 du 25 avril 2012 consid. 2.1 et 9C_931/2008 du 8 mai 2009 consid. 4.3). Dans le cas d'espèce, la décision attaquée ayant été rendue le 20 janvier 2020, il y a lieu de s'en tenir aux faits survenus jusqu'à cette date et d'appliquer le droit en vigueur jusqu'à ce moment-là.</w:t>
      </w:r>
    </w:p>
    <w:p>
      <w:r>
        <w:rPr>
          <w:b/>
        </w:rPr>
        <w:t>E. 5</w:t>
      </w:r>
    </w:p>
    <w:p>
      <w:r>
        <w:t>Selon les art. 21 al. 1 et 29 al. 1 LAVS, ont droit à une rente ordinaire de vieillesse les femmes qui ont atteint 64 ans (âge de la retraite) et auxquelles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w:t>
      </w:r>
    </w:p>
    <w:p>
      <w:r>
        <w:rPr>
          <w:b/>
        </w:rPr>
        <w:t>E. 5.1</w:t>
      </w:r>
    </w:p>
    <w:p>
      <w:r>
        <w:t>Le calcul de la rente est déterminé par les années de cotisations et les revenus provenant d'une activité lucrative ainsi que les bonifications pour tâches éducatives ou pour tâches d'assistance (art. 29bis al. 1 LAVS). Ainsi, les rentes de vieillesse ordinaires sont servies sous forme de rentes complètes aux assurés qui comptent une durée complète de cotisations et sous forme de rentes partielles aux assurés qui comptent une durée incomplète de cotisations (art. 29 al. 2 let. a et b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 soit les échelles de rente - est réglé dans l'art. 52 du règlement sur l'assurance-vieillesse et survivants (RAVS, RS 831.101 ; art. 38 al. 2 LAVS).</w:t>
      </w:r>
    </w:p>
    <w:p>
      <w:r>
        <w:rPr>
          <w:b/>
        </w:rPr>
        <w:t>E. 5.2</w:t>
      </w:r>
    </w:p>
    <w:p>
      <w:r>
        <w:t>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tant qu'ils exercent une activité lucrative. Les périodes de cotisations déterminantes pour le calcul de la rente sont celles intervenant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 TF 9C_659/2019 du 15 novembre 2019 consid. 4).</w:t>
      </w:r>
    </w:p>
    <w:p>
      <w:r>
        <w:rPr>
          <w:b/>
        </w:rPr>
        <w:t>E. 5.3.1</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(art. 29quater et 30 al. 2 LAVS).</w:t>
      </w:r>
    </w:p>
    <w:p>
      <w:r>
        <w:rPr>
          <w:b/>
        </w:rPr>
        <w:t>E. 5.3.2</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Par ailleurs, la loi prévoit expressément qu'à l'exception des revenus réalisés durant l'année du mariage ainsi que durant l'année de dissolution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effectuée lorsque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3 à 5 LAVS et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(MICHEL VALTERIO, Droit de l'assurance-vieillesse et survivants (AVS) et de l'assurance-invalidité (AI), Commentaire thématique, 2011, n° 946 et 948 ; arrêt du TAF C-2575/2015 du 11 mai 2017 consid. 7.3.1).</w:t>
      </w:r>
    </w:p>
    <w:p>
      <w:r>
        <w:rPr>
          <w:b/>
        </w:rPr>
        <w:t>E. 5.3.3</w:t>
      </w:r>
    </w:p>
    <w:p>
      <w:r>
        <w:t>En vertu de l'art. 29sexies al. 1 LAVS, les assurés (au sens de l'art. 1a al. 1 ou à l'art. 2 LAVS)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 En cas de remariage, bien qu'il n'existe pas de lien de filiation entre les enfants du premier mariage d'un conjoint et l'autre époux, il y a lieu de répartir en deux parts égales les bonifications tant pour le premier que pour le second mariage resté sans enfant (ATF 126 V 429 consid. 2 et 3).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 il est en revanche prévu d'attribuer des bonifications pour l'année au cours de laquelle le droit s'éteint (année des 16 ans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Les bonifications pour tâches éducatives correspondent au triple du montant de la rente de vieillesse annuelle minimale prévu par l'art. 34 LAVS, au moment de la naissance du droit à la rente (art. 29sexies al. 2 LAVS). Il est rappelé que les prescriptions sur le calcul des rentes de l'assurance-vieillesse et survivants sont de droit impératif (ATF 131 V 1).</w:t>
      </w:r>
    </w:p>
    <w:p>
      <w:r>
        <w:rPr>
          <w:b/>
        </w:rPr>
        <w:t>E. 5.4</w:t>
      </w:r>
    </w:p>
    <w:p>
      <w:r>
        <w:t>Pour chaque assuré tenu de payer des cotisations sont établis des comptes individuels où sont portées les indications nécessaires au calcul des rentes ordinaires (art. 30ter al. 1 LAVS et 133 ss RAVS). Conformément à l'art. 140 al. 1 let. d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la rente (art. 68 al. 2 RAVS).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lorsqu'il s'agit de rectifier des inscriptions figurant sur un compte individuel (ATF 117 V 261 consid. 3d et 107 V 7 consid. 2a ; voir aussi art. 30ter LAVS).</w:t>
      </w:r>
    </w:p>
    <w:p>
      <w:r>
        <w:rPr>
          <w:b/>
        </w:rPr>
        <w:t>E. 5.5</w:t>
      </w:r>
    </w:p>
    <w:p>
      <w:r>
        <w:t>A cet égard, 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et 105 Ib 114 ;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(ATF 117 V 261, 116 V 23, 115 V 133 consid. 8a et les références et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6</w:t>
      </w:r>
    </w:p>
    <w:p>
      <w:r>
        <w:t>A l'appui de son recours, la recourante s'en prend exclusivement au principe de partage des revenus avec son ex-mari ainsi que du partage avec ce dernier des bonifications pour tâches éducatives. Singulièrement, elle reproche à l'autorité inférieure d'avoir procédé au partage des revenus soumis à cotisations AVS réalisés au cours du mariage avec son ex-époux, en transférant une part desdits revenus à ce dernier, au motif que celui-ci s'est totalement désintéressé de l'entretien de la famille durant les années de mariage. Elle reproche également à l'autorité inférieure d'avoir partagé les bonifications pour tâches éducatives avec son ex-mari, qui ne s'est jamais préoccupé de l'éducation de sa propre fille et de l'entretien de celle-ci. Elle a ajouté qu'elle avait aussi eu sa propre fille, née en 1994, à sa charge (TAF pces 1, 6 à 9, 15, 20, 22 et 24).</w:t>
      </w:r>
    </w:p>
    <w:p>
      <w:r>
        <w:rPr>
          <w:b/>
        </w:rPr>
        <w:t>E. 6.1</w:t>
      </w:r>
    </w:p>
    <w:p>
      <w:r>
        <w:t>Sur le vu des dispositions topiques et des données figurant au dossier, ces griefs sont infondés. S'agissant du partage des revenus entre ex-époux soumis à l'AVS durant les années de mariage, celui-ci est prévu par la loi et est de droit impératif, de sorte qu'il ne peut pas y être dérogé. Contrairement à ce que prétend la recourante, l'année du mariage, soit 2000, n'a pas fait l'objet d'un partage de revenus dans le calcul de sa rente AVS tel qu'effectué par l'autorité inférieure et selon son extrait de compte individuel après « splitting » (CSC pces 21 et 38). Il ressort par ailleurs du dossier que le mariage avec son ex-époux a bel et bien été contracté en 2000, si bien que le partage des revenus a été, à juste titre, exécuté à compter de l'année 2001 par l'autorité inférieure. S'agissant de la date de divorce, il ressort du dossier que le jugement de divorce a été notifié aux parties le (...) 2011 (CSC pce 16) et celui-ci est par conséquent entré en force, au plus tôt, en 2011. Le droit civil consacre le principe du caractère exécutoire d'une décision lorsque celle-ci est entrée en force et que le tribunal n'a pas suspendu son exécution (cf. not. art. 336 al. 1 let. a Code de procédure civile du 19 décembre 2008, CPC, RS 272). Dans ce sens, en droit du divorce, le moment déterminant est celui de l'entrée en force du jugement de divorce. Le mariage est ainsi dissous par le divorce, qui déploient ses effets au moment où le jugement de divorce entre en force. Le prononcé du divorce est ainsi dissocié de ses effets. Le Tribunal fédéral relève en effet que le jugement prononçant le divorce est un jugement formateur, dont les effets se produisent au moment de son entrée en force (arrêts du TF 5A_346/2011 consid. 3.1 et 5A_55/2007 consid. 11). En l'occurrence, dans la mesure où le jugement de divorce du 23 décembre 2010 a été notifié aux parties en 2011, le divorce n'a pas déployé ses effets - notamment la dissolution du mariage - avant son entrée en force, qui n'est intervenu qu'en 2011, après sa notification aux parties. C'est dès lors à juste titre que les revenus réalisés par la recourante durant l'année 2011 n'ont pas fait l'objet d'un partage avec son ex-mari conformément aux données retenues dans le calcul de sa rente de vieillesse (cf. art. 29quinquies al. 5 et art. 50b al. 3 RAVS). En revanche, au vu des explications qui précèdent, c'est à bon droit que la CSC a partagé les revenus réalisés par la recourante durant l'année 2010. En outre, la recourante ne peut pas se prévaloir du renoncement au partage LPP ou autre renoncement concédé dans le cadre de son divorce. Le Tribunal fédéral a en effet remarqué qu'en tous les cas, le renoncement réciproque des époux à des prestations d'entretien au-delà de la dissolution du mariage ou à des prestations de la prévoyance-vieillesse dans le cadre du 2ème pilier n'a pas pour effet que les rentes devraient être calculées sans la répartition des revenus au moment de la survenance du cas d'assurance (vieillesse ou décès ; ATF 131 V 1). En ce qui concerne les bonifications pour tâches éducatives, leur partage entre ex-époux soumis à l'AVS durant les années de mariage est impératif de par la loi et l'on ne peut pas y déroger, sous réserve de l'art. 52fbis RAVS qui ne trouve pas application en l'occurrence, les ex-époux n'ayant notamment pas eu d'enfant commun (RSAS 2015 p. 396 ; cf. art. 52f al. 2bis aRAVS abrogé). Comme il ressort du calcul effectué par l'autorité inférieure, des bonifications pour tâches éducatives ont été attribuées à la recourante à compter de 1995 - sa propre fille étant née en 1994 - jusqu'en 2013 - année des 16 ans de la fille de son ex-époux, née en 1997 - cette façon de procéder n'étant en l'occurrence pas critiquable au vu des dispositions légales en la matière. A noter que la recourante a expressément requis dans la présente procédure que des bonifications pour tâches éducatives lui soit attribuées de 1995 à 2013 (TAF pce 15), ce que l'autorité inférieure a déjà fait.</w:t>
      </w:r>
    </w:p>
    <w:p>
      <w:r>
        <w:rPr>
          <w:b/>
        </w:rPr>
        <w:t>E. 6.2</w:t>
      </w:r>
    </w:p>
    <w:p>
      <w:r>
        <w:t>Pour le surplus, le Tribunal ne voit pas de motifs de mettre en doute le calcul de rente proprement dit, tel qu'il a été effectué par l'autorité inférieure, calcul que la recourante ne conteste pas au demeurant, hormis les deux griefs développés ci-dessus. Etant donné que les autres éléments entrant dans le calcul de la rente de vieillesse ne sont pas remis en cause, ils ne seront donc pas revus à ce stade de la procédure (cf. art. 52 a. 1 PA ; arrêt du TF 9C_743/2017 du 16 mars 2018 consid. 5.4 ; arrêts du TAF C-3470/2014 du 8 septembre 2017 consid. 7 et C-1493/2015 du 14 septembre 2015 consid. 6.3). Dans ces conditions, la rente litigieuse n'apparait pas critiquable quant à son montant, qui peut dès lors être confirmé.</w:t>
      </w:r>
    </w:p>
    <w:p>
      <w:r>
        <w:rPr>
          <w:b/>
        </w:rPr>
        <w:t>E. 6.3</w:t>
      </w:r>
    </w:p>
    <w:p>
      <w:r>
        <w:t>Partant, la décision sur opposition du 20 janvier 2020 - respectivement celle du 12 mai 2020 constituant de nouvelles conclusions dans la présente procédure (Thomas Flückiger in : Basler Kommentar, Allgemeiner Teil des Sozialversicherungsrechts, 2020, art. 53 n° 102 ss ; ATF 127 V 228 consid. 2b/bb ; arrêt du TF 9C_22/2019 du 7 mai 2019 consid. 3.1) - doit être confirmée en tous points et le recours, manifestement infondé, rejeté dans une procédure à juge unique conformément à l'art. 85bis al. 3 LAVS.</w:t>
      </w:r>
    </w:p>
    <w:p>
      <w:r>
        <w:rPr>
          <w:b/>
        </w:rPr>
        <w:t>E. 7</w:t>
      </w:r>
    </w:p>
    <w:p>
      <w:r>
        <w:t>Vu l'issue du litige, le recours, mal fondé, est rejeté sans frais de procédure - la procédure étant gratuite pour les parties (art. 85bis al. 2 LAVS dans sa teneur en vigueur jusqu'au 31 décembre 2020) -, ni dépens (art. 64 al. 1 PA,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