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C-1204/2006 vom 31. Juli 2008</w:t>
      </w:r>
    </w:p>
    <w:p>
      <w:r>
        <w:t>Bundesverwaltungsgericht, 2008-07-31, FR</w:t>
      </w:r>
    </w:p>
    <w:p>
      <w:r>
        <w:rPr>
          <w:b/>
        </w:rPr>
        <w:t xml:space="preserve">Quelle: </w:t>
      </w:r>
      <w:r>
        <w:t>https://mcp.opencaselaw.ch/entscheid/bvger_C-1204_2006</w:t>
      </w:r>
    </w:p>
    <w:p>
      <w:r>
        <w:t>FR: TAF C-1204/2006 du 31 juillet 2008</w:t>
      </w:r>
    </w:p>
    <w:p>
      <w:r>
        <w:t>IT: TAF C-1204/2006 del 31 luglio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(art. 53 al. 2 phr. 1 LTAF). Ces affaires sont traitées selon le nouveau droit de procédure (cf. art. 53 al. 2 phr. 2 LTAF). A moins que la LTAF n'en dispose autrement, la procédure devant le TAF est régie par la PA (art. 37 LTAF).</w:t>
      </w:r>
    </w:p>
    <w:p>
      <w:r>
        <w:rPr>
          <w:b/>
        </w:rPr>
        <w:t>E. 1.4</w:t>
      </w:r>
    </w:p>
    <w:p>
      <w:r>
        <w:t>A._______, qui est directement touché par la décision entreprise, a qualité pour recourir (art. 48 PA). Son recours, présenté dans la forme et les délais prescrits par la loi, est recevable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 128 II 97 consid. 3a ;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(ATF 130 II 482 consid. 2, 128 II 97 consid. 4a ; arrêt du Tribunal fédéral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5</w:t>
      </w:r>
    </w:p>
    <w:p>
      <w:r>
        <w:t>A titre préliminaire, le Tribunal administratif fédéral constate que les conditions formelles de l'annulation de la naturalisation facilitée prévues à l'art. 41 al. 1 LN sont réalisées. En effet, la naturalisation facilitée accordée à A._______ a été annulée par l'autorité intimée, avec l'assentiment des autorités du canton d'origine, avant l'échéance du délai péremptoire quinquennal prévu par la disposition précitée. Peu importe à cet égard que ladite décision ne soit pas formellement entrée en force, respectivement que l'autorité de recours n'ait pas définitivement statué (arrêts du Tribunal fédéral 5A.11/2002 du 23 août 2002 consid. 3 et 5A.3/2002 du 29 avril 2002 consid. 3), ni qu'elle soit valablement notifiée avant l'échéance de ce délai (Blaise Knapp, Précis de droit administratif, 4e éd., Bâle et Francfort-sur-le-Main 1991, p. 152).</w:t>
      </w:r>
    </w:p>
    <w:p>
      <w:r>
        <w:rPr>
          <w:b/>
        </w:rPr>
        <w:t>E. 6</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6.1</w:t>
      </w:r>
    </w:p>
    <w:p>
      <w:r>
        <w:t>En l'occurrence, il est constant que A._______ a entretenu une relation extra-conjugale avec D._______, une ressortissante du Kosovo née le 16 octobre 1968. Leur quatrième enfant commun, né le 9 octobre 2002, est le fruit de cette union. Il faut donc en déduire que l'intéressé a entretenu des relations adultérines avec sa première compagne en janvier 2002. Le mois suivant, soit en février 2002, le recourant introduisait une procédure en vue d'obtenir la naturalisation facilitée. Le 13 août 2002, lorsque l'intéressé a signé la déclaration commune concernant la stabilité de l'union conjugale, la grossesse de D._______ entamait son dernier trimestre et la décision avait été prise depuis plusieurs mois de la mener à terme, l'avortement n'étant pas envisageable. Le 3 octobre 2002, A._______ accédait à la nationalité suisse, six jours avant que naisse l'enfant adultérin.</w:t>
      </w:r>
    </w:p>
    <w:p>
      <w:r>
        <w:rPr>
          <w:b/>
        </w:rPr>
        <w:t>E. 6.1.1</w:t>
      </w:r>
    </w:p>
    <w:p>
      <w:r>
        <w:t>Or, une relation intime hors mariage est manifestement incompatible avec l'exigence de vie conjugale voulue par l'art. 27 LN, à savoir, une communauté effective et stable, orientée vers l'avenir et fondée sur l'assistance et la fidélité mutuelle (arrêts du Tribunal administratif fédéral C-1173/2006 du 24 mai 2007 consid. 8.2 et C-1150/2008 du 14 janvier 2008 consid. 6.2). Il convient de relever ici que si, sur le plan civil de l'institution du mariage, il appartient bien aux époux, conjointement ou de manière individuelle, de définir les conséquences d'un comportement tel que celui du recourant, il en va autrement sur le plan administratif de l'institution de la naturalisation facilitée, contrairement à ce qu'avance le recourant. En effet, à l'art. 27 LN, le législateur fédéral a fixé les conditions que devait réunir une personne souhaitant accéder à la nationalité suisse par la voie facilitée, dont celui de l'exigence d'une communauté conjugale vécue avec un ressortissant suisse, notion centrale qui a été suffisamment explicitée ci-dessus (supra consid. 3.2 et 3.3) et dont la définition appartient aux seules autorités, administratives et judiciaires, compétentes en la matière. Au demeurant, force est de constater en l'occurrence, qu'une fois mise au courant de la double vie que menait A._______, B._______ s'est déterminée rapidement sur le plan du droit civil en sollicitant immédiatement le divorce.</w:t>
      </w:r>
    </w:p>
    <w:p>
      <w:r>
        <w:rPr>
          <w:b/>
        </w:rPr>
        <w:t>E. 6.1.2</w:t>
      </w:r>
    </w:p>
    <w:p>
      <w:r>
        <w:t>Pour sa part, le recourant soutient, d'une part, que l'infidélité s'est produite à une unique occasion, de manière accidentelle, et, d'autre part, que la rupture de l'union conjugale n'a été motivée ni par cet événement, ni par la naissance qu'il a provoquée, mais par le fait que B._______ n'a pas supporté, lorsqu'elle a appris son existence en 2004, d'avoir été tenue à l'écart du secret pendant plus de deux ans. Il a allégué que l'entente du couple était excellente, tout au long du mariage, tant au moment de la procédure de naturalisation qu'au moment de la décision de naturalisation facilitée, et que s'il n'avait pas attendu deux ans avant d'informer B._______ de la naissance d'un enfant adultérin accidentellement venu au monde, le couple serait, selon toute vraisemblance, sans doute encore marié. Ces explications n'emportent pas la conviction du Tribunal administratif fédéral. En effet, les propos que B._______ a tenus lors de son audition par le SECiN FR apportent un éclairage différent sur les causes de la désunion. Selon le procès-verbal dressé à cette occasion, c'est bel et bien l'infidélité du recourant qui est à l'origine de leur rupture. Quoiqu'il en soit, comme dit précédemment, une union conjugale entachée de tromperie n'est pas à même de permettre une naturalisation facilitée. Le fait que les époux A._______ et B._______ n'aient divorcé que deux ans après l'infidélité du recourant est, de toutes façons, sans aucune pertinence dans le cas d'espèce. En effet, il ressort clairement des pièces du dossier que c'est dès qu'elle en a eu connaissance que B._______ a décidé immédiatement de demander le divorce. Le fait que A._______ l'ait tenue dans l'ignorance complète pendant deux ans n'est pas de nature à conférer à son union conjugale, à l'époque de la naturalisation, les qualités nécessaires au sens de l'art. 27 al. 1 LN ; cela est, bien au contraire, symptomatique des déficiences de cette communauté conjugale, examinée à la lumière de la législation et de la jurisprudence en matière de naturalisation facilitée. Les déclarations de l'ex-épouse du recourant concernant ses vacances semestrielles au Kosovo, où il menait une vie dont elle ignorait tout, donnent une explication plausible quant à la naissance de l'enfant, qui découle moins d'un accident isolé, tel que le recourant le laisse supposer, que d'un adultère durable. Par ailleurs, il est symptomatique de relever qu'en près de huit ans de vie commune, les ex-époux ne sont partis en vacances ensemble qu'à une seule reprise pour deux semaines, exceptés des courts séjours touristiques en Suisse, et que B._______ n'a jamais rencontré les enfants du recourant.</w:t>
      </w:r>
    </w:p>
    <w:p>
      <w:r>
        <w:rPr>
          <w:b/>
        </w:rPr>
        <w:t>E. 6.1.3</w:t>
      </w:r>
    </w:p>
    <w:p>
      <w:r>
        <w:t>Encore convient-il de préciser, premièrement que, selon la jurisprudence du Tribunal fédéral (arrêt du Tribunal fédéral 5A.7/2003 du 25 août 2003 consid. 4.2), il importe peu que ce soit B._______ qui soit à l'origine de la procédure de divorce, et non l'intéressé lui même, étant entendu que ce dernier ne s'y est pas opposé. A ce dernier égard, le Tribunal administratif fédéral relève que le recourant prétend ne pas s'être opposé au divorce pour éviter une procédure longue et s'étant rendu compte « qu'il n'avait plus rien à obtenir » de B._______, ce qui montre le peu d'importance que l'intéressé accordait en réalité à une union conjugale dont il prétendait qu'elle était effective, stable et orientée vers l'avenir.</w:t>
      </w:r>
    </w:p>
    <w:p>
      <w:r>
        <w:rPr>
          <w:b/>
        </w:rPr>
        <w:t>E. 6.1.4</w:t>
      </w:r>
    </w:p>
    <w:p>
      <w:r>
        <w:t>Finalement, le Tribunal administratif fédéral peut conclure que la communauté conjugale constituée par B._______ et A._______ ne pouvait pas être considérée comme stable et effective dans les mois qui ont précédé la naturalisation facilitée, lorsque les ex-époux ont contresigné la déclaration commune du 13 août 2002 et, à plus forte raison, au moment du prononcé de la décision de naturalisation facilitée. En d'autres termes, la ferme intention du recourant de poursuivre la communauté conjugale au-delà de la décision de naturalisation facilitée faisait défaut à ce moment-là, en sorte que l'on ne pouvait admettre l'existence d'une volonté matrimoniale intacte et orientée vers l'avenir au sens de la jurisprudence développée en la matière. Or, il s'impose de relever que la naturalisation facilitée n'aurait pas été accordée au recourant si ces faits avaient été portés à la connaissance de l'office fédéral, conformément à l'injonction faite par cette autorité.</w:t>
      </w:r>
    </w:p>
    <w:p>
      <w:r>
        <w:rPr>
          <w:b/>
        </w:rPr>
        <w:t>E. 6.2</w:t>
      </w:r>
    </w:p>
    <w:p>
      <w:r>
        <w:t>De plus, il ressort clairement des pièces du dossier que A._______ a sciemment dissimulé aux autorités chargées de l'examen de sa naturalisation l'existence de ses enfants nés de sa relation avec D._______, alors même que la formule de demande de naturalisation facilitée comprenait une rubrique spécialement dédiée aux enfants étrangers non mariés de moins de dix-huit ans. Il va sans dire que si le recourant n'avait pas caché aux autorités précitées l'existence de sa progéniture, il n'aurait pas obtenu sans un examen plus approfondi la naturalisation facilitée. Un tel examen aurait, selon toute vraisemblance, mis en lumière les faits celés à son ex épouse, soit l'adultère et l'existence de son quatrième enfant. Si ces faits étaient parvenus à la connaissance de B._______, tout porte à croire que cela l'aurait conduite à demander immédiatement le divorce, comme il en a été en 2004, ce qui aurait rendu impossible la naturalisation facilitée.</w:t>
      </w:r>
    </w:p>
    <w:p>
      <w:r>
        <w:rPr>
          <w:b/>
        </w:rPr>
        <w:t>E. 6.3</w:t>
      </w:r>
    </w:p>
    <w:p>
      <w:r>
        <w:t>Compte tenu de ce qui précède, l'ODM était parfaitement fondé à considérer que la naturalisation facilitée conférée à A._______ en date du 3 octobre 2002 avait été obtenue par la dissimulation de faits essentiels et à prononcer, avec l'assentiment du canton d'origine, l'annulation de cette naturalisation.</w:t>
      </w:r>
    </w:p>
    <w:p>
      <w:r>
        <w:rPr>
          <w:b/>
        </w:rPr>
        <w:t>E. 7</w:t>
      </w:r>
    </w:p>
    <w:p>
      <w:r>
        <w:t>Vu les considérants exposés ci-dessus, il appert que, par sa décision du 4 septembre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du recourant, en application des art. 1,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