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C-1201/2013 vom 8. April 2014</w:t>
      </w:r>
    </w:p>
    <w:p>
      <w:r>
        <w:t>Bundesverwaltungsgericht, 2014-04-08, DE</w:t>
      </w:r>
    </w:p>
    <w:p>
      <w:r>
        <w:rPr>
          <w:b/>
        </w:rPr>
        <w:t xml:space="preserve">Quelle: </w:t>
      </w:r>
      <w:r>
        <w:t>https://mcp.opencaselaw.ch/entscheid/bvger_C-1201_2013</w:t>
      </w:r>
    </w:p>
    <w:p>
      <w:r>
        <w:t>FR: TAF C-1201/2013 du 8 avril 2014</w:t>
      </w:r>
    </w:p>
    <w:p>
      <w:r>
        <w:t>IT: TAF C-1201/2013 del 8 aprile 2014</w:t>
      </w:r>
    </w:p>
    <w:p>
      <w:pPr>
        <w:pStyle w:val="Heading2"/>
      </w:pPr>
      <w:r>
        <w:t>Regeste</w:t>
      </w:r>
    </w:p>
    <w:p>
      <w:r>
        <w:t>Schengen-Visum</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1.3.1</w:t>
      </w:r>
    </w:p>
    <w:p>
      <w:r>
        <w:t>Art. 48 Abs. 1 VwVG legt fest, dass zur Erhebung einer Beschwerde berechtigt ist, wer vor der Vorinstanz am Verfahren teilgenommen hat oder keine Möglichkeit zur Teilnahme erhalten hat (Bst. a), wer durch die angefochtene Verfügung besonders berührt ist (Bst. b) und wer ein schutzwürdiges Interesse an deren Aufhebung oder Änderung hat (Bst. c).</w:t>
      </w:r>
    </w:p>
    <w:p>
      <w:r>
        <w:rPr>
          <w:b/>
        </w:rPr>
        <w:t>E. 1.3.2</w:t>
      </w:r>
    </w:p>
    <w:p>
      <w:r>
        <w:t>Als erste Voraussetzung nennt Art. 48 Abs. 1 Bst. a VwVG die sog. formelle Beschwer. Dies bedeutet, dass die beschwerdeführende Person am vorinstanzlichen Verfahren teilgenommen haben muss, soweit sie dazu in der Lage war, und sie mit ihren Anträgen ganz oder teilweise unterlegen ist (vgl. Marantelli-Sonanini/Huber, in: Waldmann/Weissenber­ger, Praxiskommentar VwVG, Zürich, Art. 48 N 22; Isabelle Häner, in: Auer/Müller/Schindler, Kommentar zum Bundesgesetz über das Verwaltungsverfahren [VwVG], 2008, Rz. 6 zu Art. 48).</w:t>
      </w:r>
    </w:p>
    <w:p>
      <w:r>
        <w:rPr>
          <w:b/>
        </w:rPr>
        <w:t>E. 1.3.3</w:t>
      </w:r>
    </w:p>
    <w:p>
      <w:r>
        <w:t>Vorliegend ist diese Voraussetzung nur beim Beschwerdeführer erfüllt, welcher - wie erwähnt - Einsprache gegen die verweigernde Verfügung der Schweizer Vertretung erhoben hat. Die Beschwerde­führerin hat demgegenüber am vorinstanzlichen Verfahren nicht teilge­nommen, obwohl sie dazu in der Lage gewesen wäre (vgl. in die­sem Zusammenhang Urteile des Bundesverwaltungsgerichts C-4524/2012 vom 11. März 2014 E. 1.3, C-6305/2011 vom 10. April 2013 E. 1.4 und C 6404/2011 vom 25. Mai 2012 E. 1.3). Da die übrigen formellen Voraussetzungen erfüllt sind (vgl. Art. 48 Abs. 1 Bst. b und c VwVG, Art. 50 und 52 VwVG), ist auf die Beschwerde, soweit sie vom Beschwerdeführer erhoben wurde, einzutreten. Hinsichtlich der Beschwerdeführerin ist auf die Beschwerde nicht einzutreten.</w:t>
      </w:r>
    </w:p>
    <w:p>
      <w:r>
        <w:rPr>
          <w:b/>
        </w:rPr>
        <w:t>E. 1.4</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2011/43 E. 6.1 und BVGE 2011/1 E. 2).</w:t>
      </w:r>
    </w:p>
    <w:p>
      <w:r>
        <w:rPr>
          <w:b/>
        </w:rPr>
        <w:t>E. 3</w:t>
      </w:r>
    </w:p>
    <w:p>
      <w:r>
        <w:t>Der angefochtenen Verfügung liegt das Gesuch einer ecuadorianischen Staatsangehörigen um Erteilung eines Visums für einen einmonatigen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Egli/Meyer, in: Caroni/Gächter/Thurnherr, Stämpflis Handkommentar zum Bundesgesetz über die Ausländerinnen und Ausländer,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ihrer ecuadorianischen Staatsangehörigkeit unterliegt die Gesuchstellerin der Visumspflicht (vgl. Anhang I zur Verordnung [EG] Nr. 539/2001 [ABl. L 81 vom 21.03.2001 S. 1 7; zum vollständigen Quellennachweis vgl. Fussnote zu Art. 4 Abs. 1 VEV]). Bei der Prüfung der Einreisevoraussetzungen nach Art. 5 Abs. 1 SGK steht die Frage der gesicherten Wiederausreise im Vordergrund. Eine solche erachtet die Vorinstanz aufgrund der allgemeinen Situation im Heimatland und der persönlichen Verhältnisse der Gesuchstellerin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Die Republik Ecuador konnte in den vergangenen Jahren ein beachtliches Wirtschaftswachstum verzeichnen, was sich positiv auf die Arbeitslosenrate (offiziell 5%) und die Armutsrate auswirkt. Letztere sank in den letzten 5 Jahren um ca. 5%. Nach wie vor sind aber rund 30% der Bevölkerung von Armut betroffen, und vom jährlich steigenden Brutto­inlandsprodukt profitiert in erster Linie eine schmale Oberschicht. Immerhin haben die unter Staatspräsident Correa eingeleiteten Massnahmen zur Stabilisierung der Wirtschaft und zur Armutsbekämpfung zu einem massiven Rückgang der Emigration geführt. Nachdem in den vorangegangenen 25 Jahren schätzungsweise 10 bis 15% der ecuadorianischen Bevölkerung (vor allem aus wirtschaftlichen Gründen) ihre Heimat verlassen hatten, lag die Auswanderungsquote 2012 lediglich bei geschätzten 0,39 Emigranten pro 1000 Einwohnern (Quellen: Deutsches Auswärtiges Amt &lt; http://www.auswaertiges_Amt.de/Aussen-_und_Europapolitik/Län­derinformationen/Ecuador/Wirtschaft &gt;, Stand: September 2013; Länder-Infor­mations-Portal der Deutschen Gesellschaft für Internationale Zusammenarbeit (GIZ) GmbH &lt; http://www.liportal.giz.de/Südame-rika/Ecuador/Wirtschaft_&amp;_Entwicklung &gt;, Stand: Dezember 2013; beide Webseiten besucht am 18.03.2014). Ecuador zählte 2012 gut 15 Mio. Einwohner, von denen im gleichen Jahr demnach lediglich rund 6'000 Personen emigrierten.</w:t>
      </w:r>
    </w:p>
    <w:p>
      <w:r>
        <w:rPr>
          <w:b/>
        </w:rPr>
        <w:t>E. 5.4</w:t>
      </w:r>
    </w:p>
    <w:p>
      <w:r>
        <w:t>Dass heute noch migrationswillige Ecuadorianer in grosser Anzahl in die Schweiz gelangten - wie der in der angefochtenen Verfügung verwendete Begriff des "stark anhaltenden Zuwanderungsdruckes" vermuten liesse - kann in dieser Form nicht als erstellt betrachtet werden.</w:t>
      </w:r>
    </w:p>
    <w:p>
      <w:r>
        <w:rPr>
          <w:b/>
        </w:rPr>
        <w:t>E. 5.5</w:t>
      </w:r>
    </w:p>
    <w:p>
      <w:r>
        <w:t>Dennoch sind im konkreten Fall bei der Risikoanalyse unbesehen allgemeiner Umstände und Erfahrungen auch sämtliche Gesichtspunkte des konkreten Einzelfalles zu prüfen. Von Interesse ist dabei das aktuelle familiäre, berufliche und sonstige soziale Umfeld, aber auch die bisherige Lebensgestaltung im weitesten Sinne einer gesuchstellenden Person.</w:t>
      </w:r>
    </w:p>
    <w:p>
      <w:r>
        <w:rPr>
          <w:b/>
        </w:rPr>
        <w:t>E. 6.1</w:t>
      </w:r>
    </w:p>
    <w:p>
      <w:r>
        <w:t>Bei der Gesuchstellerin handelt es sich um eine 39-jährige, geschiedene und kinderlose Frau. Sie lebt zusammen mit ihrer Schwester in Quito und hat daselbst vor noch nicht langer Zeit ein eigenes Ladengeschäft eröffnet. In der gleichen Stadt leben ihre Mutter und ihr Bruder. Ihr Vater wiederum hält sich in Schweden auf (so der Rechtsmitteleingabe zu entnehmen). In diesen Umständen sind zwar keine Besonderheiten zu erkennen, die auf eine grosse Verwurzelung schliessen liessen. Immerhin war die Gesuchstellerin auch schon mit einem deutschen Staatsangehörigen verheiratet und hatte mit diesem in Deutschland gelebt.</w:t>
      </w:r>
    </w:p>
    <w:p>
      <w:r>
        <w:rPr>
          <w:b/>
        </w:rPr>
        <w:t>E. 6.2</w:t>
      </w:r>
    </w:p>
    <w:p>
      <w:r>
        <w:t>Positiv fällt aber bei der Risikobewertung ins Gewicht, dass die Gesuchstellerin offenbar über eine gute Ausbildung verfügt, in ihrem angestammten Beruf verschiedene Anstellungsverhältnisse hatte, aber auch, dass sie nach dem Scheitern ihrer Ehe mit einem deutschen Staatsangehörigen von Deutschland nach Ecuador zurückkehrte und dort beruflich wieder Fuss fasste. Dass sie ihr letztes Anstellungsverhältnis auflöste, um während befristeter Zeit mit dem Beschwerdeführer zusammen sein zu können, lässt zumindest auf fehlenden wirtschaftlichen Druck schliessen.</w:t>
      </w:r>
    </w:p>
    <w:p>
      <w:r>
        <w:rPr>
          <w:b/>
        </w:rPr>
        <w:t>E. 6.3</w:t>
      </w:r>
    </w:p>
    <w:p>
      <w:r>
        <w:t>Zwar besteht die Bekanntschaft zwischen Gast und Gastgeber erst seit zwei Jahren. Die Beiden sind allerdings in intensivem Kontakt zueinander, so aus den glaubhaften Äusserungen des Beschwerdeführers im Einspracheverfahren zu schliessen. Alles in allem ist aufgrund der Situation im Herkunftsland, aber auch der persönlichen Verhältnisse, in denen Gast und Gastgeber leben sowie des zeitlich moderaten Antrages der Gesuchstellerin auf lautere Absichten zu schliessen.</w:t>
      </w:r>
    </w:p>
    <w:p>
      <w:r>
        <w:rPr>
          <w:b/>
        </w:rPr>
        <w:t>E. 6.4</w:t>
      </w:r>
    </w:p>
    <w:p>
      <w:r>
        <w:t>Auch wenn das Risiko für eine Missachtung ausländerrechtlicher Normen nie gänzlich ausgeschlossen werden kann, erscheint es vorliegend doch als gering. Mit anderen Worten ist nicht davon auszugehen, es bestünden Hinderungsgründe dieser Art gemäss Art. 5 SGK bzw. Art. 5 AuG für die Erteilung des beantragten Visums.</w:t>
      </w:r>
    </w:p>
    <w:p>
      <w:r>
        <w:rPr>
          <w:b/>
        </w:rPr>
        <w:t>E. 7</w:t>
      </w:r>
    </w:p>
    <w:p>
      <w:r>
        <w:t>Indem die Vorinstanz den entscheidsrelevanten Sachverhalt wesentlich anders gewichtete, hat sie Bundesrecht verletzt (Art. 49 Bst. a VwVG). Soweit auf die Beschwerde einzutreten ist, ist sie gutzuheissen. Die angefochtene Verfügung ist aufzuheben und die Sache zur neuerlichen Beurteilung an die Vorinstanz zurückzuweisen. Dabei bleibt von der Vorinstanz zu prüfen, ob die übrigen Einreisevoraussetzungen (vgl. E. 4) erfüllt sind.</w:t>
      </w:r>
    </w:p>
    <w:p>
      <w:r>
        <w:rPr>
          <w:b/>
        </w:rPr>
        <w:t>E. 8</w:t>
      </w:r>
    </w:p>
    <w:p>
      <w:r>
        <w:t>Entsprechend dem Ausgang des Verfahrens sind weder den Beschwerdeführenden noch der Vorinstanz Kosten aufzuerlegen (Art. 63 Abs. 1 und 2 VwVG) und der geleistete Kostenvorschuss ist zurückzuerstatten. Der Beschwerdeführer hat gemäss Art. 64 Abs. 1 VwVG Anspruch auf eine (reduzierte) Parteientschädigung für die ihm erwachsenen notwendigen und verhältnismässig hohen Kosten (vgl. auch Art. 7 ff. des Reglements vom 21. Februar 2008 über die Kosten und Entschädigungen vor dem Bundesverwaltungsgericht [VGKE, SR 173.320.2]). Die Parteientschädigung geht zu Lasten der Vorinstanz (vgl. Art. 64 Abs. 2 VwVG). Es wurde keine Kostennote eingereicht, so dass das Gericht die Parteientschädigung aufgrund der Akten (vgl. Art. 14 VGKE i.V.m. Art. 10 Abs. 2 VGKE) auf Fr. 1'300.- (inkl. MWST) festsetzt.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