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C-11/2011 vom 27. Mai 2011</w:t>
      </w:r>
    </w:p>
    <w:p>
      <w:r>
        <w:t>Bundesverwaltungsgericht, 2011-05-27, DE</w:t>
      </w:r>
    </w:p>
    <w:p>
      <w:r>
        <w:rPr>
          <w:b/>
        </w:rPr>
        <w:t xml:space="preserve">Quelle: </w:t>
      </w:r>
      <w:r>
        <w:t>https://mcp.opencaselaw.ch/entscheid/bvger_C-11_2011</w:t>
      </w:r>
    </w:p>
    <w:p>
      <w:r>
        <w:t>FR: TAF C-11/2011 du 27 mai 2011</w:t>
      </w:r>
    </w:p>
    <w:p>
      <w:r>
        <w:t>IT: TAF C-11/2011 del 27 maggio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Hinsichtlich der in Frage kommenden Belege zur Glaubhaftmachung des Aufenthaltzwecks verweist Art. 5 Abs. 2 SGK auf den Anhang I. Art. 5 Abs. 3 SGK sowie Art. 2 und Art. 7-11 VEV regeln ausführlich das Einreiseerfordernis der ausreichenden finanziellen Mittel.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Kuba zu diesen Staaten zählt, unterliegt der Ge­suchsteller der Visumpflicht.</w:t>
      </w:r>
    </w:p>
    <w:p>
      <w:r>
        <w:rPr>
          <w:b/>
        </w:rPr>
        <w:t>E. 7</w:t>
      </w:r>
    </w:p>
    <w:p>
      <w:r>
        <w:t>Die Vorinstanz verweigerte die Erteilung eines Visums an den Ge­suchsteller insbesondere mit der Begründung, die fristgerechte Wiederausreise erschei­ne nicht gesichert. Dabei bezog sie sich im Wesentlichen auf die schwierige Situation im Herkunftsstaat sowie die fehlenden zwingenden beruflichen, familiären oder gesellschaftlichen Verpflichtungen des Gesuchstellers im Heimatland. Die Vorinstanz zog daraus den Schluss, dass des­halb die fristgerechte und anstandslose Wiederausreise nicht gesi­chert sei.</w:t>
      </w:r>
    </w:p>
    <w:p>
      <w:r>
        <w:rPr>
          <w:b/>
        </w:rPr>
        <w:t>E. 7.1</w:t>
      </w:r>
    </w:p>
    <w:p>
      <w:r>
        <w:t>Zur Prüfung des Kriteriums der gesicherten Wiederausreise muss das Verhalten des Gesuchstellers in der Schweiz im Falle einer Einreise beurteilt werden. Da es sich um ein zu­künftiges Verhalten handelt, lassen sich in der Regel keine ge­sicherten Feststellungen sondern lediglich Prognosen treffen.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7.2.1</w:t>
      </w:r>
    </w:p>
    <w:p>
      <w:r>
        <w:t>Unter der derzeitigen Staatsführung bleibt Kuba prinzipiell beim Konzept einer sozialistischen Planwirtschaft, in der politische Ziele Vorrang vor ökonomischen Erwägungen haben. Das Land leidet unter einem grossen Defizit in den Bereichen Infrastruktur, Industrie sowie Landwirtschaft und ist gezwungen, circa 80 % der Lebensmittel zu importieren. Die unter Raúl Castro angekündigten und teilweise auch eingeleiteten Massnahmen zur Stärkung der wirtschaftlichen Leistungsfähigkeit Kubas wirken sich bisher kaum auf den Alltag der Bevölkerung aus. Ein Übergang von der sozialistischen Planwirtschaft zu Marktwirtschaft und Privateigentum wird von diesen Massnahmen nicht angestrebt, weshalb es an Leistungsanreizen fehlt. Das durchschnittliche monatliche Salär in Kuba beträgt umgerechnet etwa 12 Euro. Ein grosser Teil der Grundbedürfnisse kann nur in konvertibler Währung und zu Preisen gedeckt werden, die deutlich über den Vergleichspreisen in Europa oder den USA liegen. Der Zugang zu konvertibler Währung bestimmt denn auch den Lebensstandart der Bevölkerung. Schätzungsweise 40 % der Bürger erhalten Überweisungen ihrer im Ausland lebenden Verwandten (Quellen: Deutsches Auswärtiges Amt, im Internet unter: www.auswaertiges-amt.de &gt; Reise und Sicherheit &gt; Reise- und Sicherheitshinweise &gt; Kuba &gt; Wirtschaft [Stand März 2011]; U.S. Department of State, im Internet unter: www.state.gov &gt; Countries an Regions &gt; Cuba &gt; Background Note [Stand 28. April 2011], beide Seiten besucht im Mai 2011).</w:t>
      </w:r>
    </w:p>
    <w:p>
      <w:r>
        <w:rPr>
          <w:b/>
        </w:rPr>
        <w:t>E. 7.2.2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weiterhin ansteigen.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und Bekannte) besteht. Im Falle der Schweiz führt dies angesichts der strengen fremdenpolizeilichen Zulassungspraxis nicht selten zur Umgehung ausländerrechtlicher Bestimmungen.</w:t>
      </w:r>
    </w:p>
    <w:p>
      <w:r>
        <w:rPr>
          <w:b/>
        </w:rPr>
        <w:t>E. 7.2.3</w:t>
      </w:r>
    </w:p>
    <w:p>
      <w:r>
        <w:t>In Bezug auf die Einschätzung des Emigrationsrisikos ist bei kubanischen Staatsangehörigen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so wird ihm in vielen Fällen die Wiedereinreise nach Kuba verwehrt (vgl. MICHAEL KIRSCHNER, Kuba: Legale und illegale Aus- und Einreise, Schweizerische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7.2.4</w:t>
      </w:r>
    </w:p>
    <w:p>
      <w:r>
        <w:t>Angesichts der geschilderten Umstände im Heimatland des Ge­suchstellers ist nicht zu beanstanden, dass die Vorinstanz das Risiko einer nicht fristgerechten Wiederausreise von Besuchern aus Kuba allgemein als hoch einschätzt.</w:t>
      </w:r>
    </w:p>
    <w:p>
      <w:r>
        <w:rPr>
          <w:b/>
        </w:rPr>
        <w:t>E. 7.3</w:t>
      </w:r>
    </w:p>
    <w:p>
      <w:r>
        <w:t>Bei der Risikoanalyse sind allerdings nicht nur solch allgemeine Umstände und Erfahrungen, sondern auch sämtliche Gesichtspunkte des konkreten Einzelfalles zu berücksichtigen. Allerdings sind dabei nicht so sehr die persönlichen Eindrücke der Beschwerdeführerin vom Gesuchsteller ausschlaggebend, sondern vielmehr konkret nachweisbare besondere berufliche, gesellschaftliche oder familiäre Verpflichtungen. Sind diese vorhanden, können sie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7.3.1</w:t>
      </w:r>
    </w:p>
    <w:p>
      <w:r>
        <w:t>Beim Gesuchsteller handelt es sich um einen bald 37-jährigen Mann, der - gemäss eigenen Angaben (vgl. Visumantrag) - verheiratet ist. Die Beschwerdeführerin gibt zudem an, er sei Vater eines vierjährigen Sohnes und besitze ein Haus, in welchem er mit seiner Familie wohne. Zudem sei er in einer Kirche als Pastor tätig (vgl. Beschwerde vom 30. Dezember 2010). Auf den ersten Blick könnte der Umstand, dass er für die Hochzeit seiner Bekannten in der Schweiz seine Ehefrau und sein Kind in der Heimat zurücklassen würde, durchaus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nachzuziehen zu können. Die von der Beschwerdeführerin geltend gemachte Tätigkeit des Gesuchstellers als Pastor in einer Kirche erfüllt das Kriterium einer persönlichen Verpflichtung nicht. Besondere Funktionen oder Aufgaben wurden nicht erwähnt. Dass der Zuwanderungsdruck von Personen aus Kuba in grossem Masse anhält, wurde bereits erwähnt. Es sind somit - im Sinne des auszulegenden engen Beurteilungsmassstabs - keine familiären und gesellschaftlichen Verpflichtungen ersichtlich, welche den Gesuchsteller von einer Emigration abzuhalten vermöchten.</w:t>
      </w:r>
    </w:p>
    <w:p>
      <w:r>
        <w:rPr>
          <w:b/>
        </w:rPr>
        <w:t>E. 7.3.2</w:t>
      </w:r>
    </w:p>
    <w:p>
      <w:r>
        <w:t>Die Beschwerdeführerin macht alsdann berufliche Bindungen des Gesuchstellers geltend: Er arbeite als Geschäftsverwalter und könne seine Arbeit nach 30 Tagen Abwesenheit wieder aufnehmen (vgl. Auskunftsbogen der kantonalen Behörde vom 7. September 2010 und Beschwerde vom 30. Dezember 2010). Ein entsprechendes Bestätigungsschreiben des Arbeitgebers vom 1. Juli 2010 liegt den Akten bei. Nicht bekannt ist hingegen - ausser dem Hinweis, sein Einkommen entspreche einem Gehalt, mit welchem er sein Leben in Kuba sehr gut bestreiten könne - die Höhe des monatlichen Einkommens. Die Erfahrung zeigt jedoch, dass aufgrund des grossen Lohngefälles zwischen der Schweiz und Staaten wie Kuba selbst ein für einheimische Verhältnisse gutes Salär nicht nachhaltig davon abhalten kann, das Heimatland dauerhaft zu verlassen. Vor diesem Hintergrund ist der Vorinstanz zuzustimmen, dass dem Gesuchsteller keine zwingenden beruflichen Verpflichtungen obliegen.</w:t>
      </w:r>
    </w:p>
    <w:p>
      <w:r>
        <w:rPr>
          <w:b/>
        </w:rPr>
        <w:t>E. 7.3.3</w:t>
      </w:r>
    </w:p>
    <w:p>
      <w:r>
        <w:t>Insgesamt betrachtet, sind somit weder in den familiären oder gesellschaftlichen noch beruflichen und damit wirtschaftlichen Verhältnissen des Gesuchstellers Be­sonderheiten erkennbar, die eine Emigration als unwahrscheinlich erachten lassen.</w:t>
      </w:r>
    </w:p>
    <w:p>
      <w:r>
        <w:rPr>
          <w:b/>
        </w:rPr>
        <w:t>E. 7.4</w:t>
      </w:r>
    </w:p>
    <w:p>
      <w:r>
        <w:t>Vor dem allgemeinen und persönlichen Hintergrund durfte die Vorinstanz deshalb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Zusicherungen der Beschwerdeführerin sowie die anlässlich des Auskunftsbogens abgegebene Erklärung, sie garantiere die Wiederausreise des Gesuchstellers (vgl. Auskunftsbogen der kantonalen Behörde vom 7. September 2010 und Beschwerde vom 30. Dezember 2010) nichts zu ändern. Als Gastgeberin kann sie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Die Integrität der Gastgeberin wird durch das Gesagte jedoch in keiner Weise in Frage gestellt.</w:t>
      </w:r>
    </w:p>
    <w:p>
      <w:r>
        <w:rPr>
          <w:b/>
        </w:rPr>
        <w:t>E. 7.5</w:t>
      </w:r>
    </w:p>
    <w:p>
      <w:r>
        <w:t>Aus den vorliegenden Erwägungen folgt, dass die angefochtene Verfügung im Lichte von Art. 49 VwVG nicht zu beanstanden ist. Die Beschwerde ist daher abzuweisen.</w:t>
      </w:r>
    </w:p>
    <w:p>
      <w:r>
        <w:rPr>
          <w:b/>
        </w:rPr>
        <w:t>E. 8</w:t>
      </w:r>
    </w:p>
    <w:p>
      <w:r>
        <w:t>Entsprechend dem Ausgang des Verfahrens wird die unterliegende Beschwerdeführerin kostenpflichtig (vgl. Art. 63 Abs. 1 VwVG, Art. 1, 2 und 3 Bst. b des Reglements über die Kosten und Entschädigungen vor dem Bundesverwaltungsgericht vom 21. Februar 2008 [SR 173.320.2]).(Dispositiv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