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C-1197/2011 vom 6. Februar 2013</w:t>
      </w:r>
    </w:p>
    <w:p>
      <w:r>
        <w:t>Bundesverwaltungsgericht, 2013-02-06, DE</w:t>
      </w:r>
    </w:p>
    <w:p>
      <w:r>
        <w:rPr>
          <w:b/>
        </w:rPr>
        <w:t xml:space="preserve">Quelle: </w:t>
      </w:r>
      <w:r>
        <w:t>https://mcp.opencaselaw.ch/entscheid/bvger_C-1197_2011</w:t>
      </w:r>
    </w:p>
    <w:p>
      <w:r>
        <w:t>FR: TAF C-1197/2011 du 6 février 2013</w:t>
      </w:r>
    </w:p>
    <w:p>
      <w:r>
        <w:t>IT: TAF C-1197/2011 del 6 febbraio 2013</w:t>
      </w:r>
    </w:p>
    <w:p>
      <w:pPr>
        <w:pStyle w:val="Heading2"/>
      </w:pPr>
      <w:r>
        <w:t>Regeste</w:t>
      </w:r>
    </w:p>
    <w:p>
      <w:r>
        <w:t>Schengen-Visum</w:t>
      </w:r>
    </w:p>
    <w:p>
      <w:pPr>
        <w:pStyle w:val="Heading2"/>
      </w:pPr>
      <w:r>
        <w:t>Erwägungen</w:t>
      </w:r>
    </w:p>
    <w:p>
      <w:r>
        <w:rPr>
          <w:b/>
        </w:rPr>
        <w:t>E. 1</w:t>
      </w:r>
    </w:p>
    <w:p>
      <w:r>
        <w:t>Aufgrund des engen persönlichen und sachlichen Zusammenhangs sind die Verfahren mit den Referenzen C-1197/2011 und C-1198/2011 zu vereinigen.</w:t>
      </w:r>
    </w:p>
    <w:p>
      <w:r>
        <w:rPr>
          <w:b/>
        </w:rPr>
        <w:t>E. 2.1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verweigert wird. In dieser Materie entscheidet das Bun­desverwaltungsgericht endgültig (Art. 83 Bst. c Ziff. 1 des Bundesge­richtsgesetzes vom 17. Juni 2005 [BGG, SR 173.110]).</w:t>
      </w:r>
    </w:p>
    <w:p>
      <w:r>
        <w:rPr>
          <w:b/>
        </w:rPr>
        <w:t>E. 2.2</w:t>
      </w:r>
    </w:p>
    <w:p>
      <w:r>
        <w:t>Sofern das Verwaltungsgerichtsgesetz nichts anderes bestimmt, richtet sich das Verfahren vor dem Bundesverwaltungsgericht nach dem Verwaltungsverfahrensgesetz (Art. 37 VGG).</w:t>
      </w:r>
    </w:p>
    <w:p>
      <w:r>
        <w:rPr>
          <w:b/>
        </w:rPr>
        <w:t>E. 2.3</w:t>
      </w:r>
    </w:p>
    <w:p>
      <w:r>
        <w:t>Die Beschwerdeführenden sind gemäss Art. 48 Abs. 1 VwVG zur Beschwerde berechtigt. Auf ihre frist- und formgerecht eingereichte Beschwerde ist einzutreten (vgl. Art. 50 und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2011/1 E. 2 und 2011/43 E. 6.1).</w:t>
      </w:r>
    </w:p>
    <w:p>
      <w:r>
        <w:rPr>
          <w:b/>
        </w:rPr>
        <w:t>E. 4</w:t>
      </w:r>
    </w:p>
    <w:p>
      <w:r>
        <w:t>Die angefochtenen Verfügungen beziehen sich auf die Visagesuche zweier Vietnamesinnen, die für drei Monate zu einem Familienbesuch in die Schweiz einreisen möchten. Da sich diese nicht auf die EU/EFTA-Personenfreizügigkeitsabkommen berufen können und die beabsichtigte Aufenthaltsdauer drei Monate nicht überschreitet, fallen ihre Gesuche in den Anwendungsbereich der Schengen-Assoziierungsabkommen, mit denen die Schweiz den Schengen-Besitzstand und die dazugehörigen gemeinschaftsrechtlichen Rechts­akte übernommen hat. Das Ausländergesetz vom 16. De­zember 2005 (AuG, SR 142.20) und seine Ausführungsverordnungen gelangen nur soweit zur Anwendung, als die Schengen-Assoziierungs­abkommen keine abweichenden Bestimmungen enthalten (Art. 2 Abs. 2 bis Abs. 5 AuG).</w:t>
      </w:r>
    </w:p>
    <w:p>
      <w:r>
        <w:rPr>
          <w:b/>
        </w:rPr>
        <w:t>E. 5</w:t>
      </w:r>
    </w:p>
    <w:p>
      <w:r>
        <w:t>Die Voraussetzungen für die Erteilung eines Visums präsentieren sich im Anwendungsbereich der erwähnten Rechtsgrundlagen wie folgt:</w:t>
      </w:r>
    </w:p>
    <w:p>
      <w:r>
        <w:rPr>
          <w:b/>
        </w:rPr>
        <w:t>E. 5.1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5.2</w:t>
      </w:r>
    </w:p>
    <w:p>
      <w:r>
        <w:t>Angehörige von Drittstaaten dürfen über die Aussengrenzen des Schengen-Raums für einen Aufenthalt von höchstens drei Monaten je Sechsmonatszeitraum einreisen, wenn sie im Besitz gültiger Reisedoku­mente sind, die zum Grenzübertritt berechtigen. Staatsangehörige gewisser Länder benötigen zudem ein Visum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[EG] Nr. 562/2010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5.4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5.5</w:t>
      </w:r>
    </w:p>
    <w:p>
      <w:r>
        <w:t>Sind die vorerwähnten Einreisevoraussetzungen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6.1</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Vietnam zu diesen Staaten zählt, unterliegen die Gesuchstellerinnen der Visumspflicht.</w:t>
      </w:r>
    </w:p>
    <w:p>
      <w:r>
        <w:rPr>
          <w:b/>
        </w:rPr>
        <w:t>E. 6.2</w:t>
      </w:r>
    </w:p>
    <w:p>
      <w:r>
        <w:t>Im vorliegenden Fall hat die Vorinstanz bezweifelt, dass die Gesuchstellerinnen die Schweiz bzw. den Schengen-Raum wieder anstandslos verlassen würden, und dies mit der allgemeinen Lage in ihrem Heimatland und ihren persönlichen Verhältnissen begründet. Zu der somit im Vordergrund stehenden Frage der gesicherten Wiederausreise könnten jedoch lediglich Prognosen getroffen werden.</w:t>
      </w:r>
    </w:p>
    <w:p>
      <w:r>
        <w:rPr>
          <w:b/>
        </w:rPr>
        <w:t>E. 6.3</w:t>
      </w:r>
    </w:p>
    <w:p>
      <w:r>
        <w:t>Stellt man auf die allgemeine Situation im Herkunfts­land ab, so können Einreisegesuche von Personen aus Staaten bzw. Regionen mit politisch oder wirtschaftlich vergleichsweise ungünstigen Verhältnissen darauf hindeuten, dass deren persönliche Interessenlage nicht mit dem Ziel und Zweck einer zeitlich befristeten Einreisebewilligung in Ein­klang steht. Obliegt einer gesuchstellenden Person demgegenüber eine besondere berufliche, gesellschaftliche oder familiäre Verantwortung im Heimatland, so kann dieser Umstand durchaus die Prognose für eine anstandslose Wiederausreise begünstigen. Umgekehrt muss bei Personen, die derartige Verpflichtungen nicht haben, das Risiko eines über die bewilligte Besuchsdauer hinaus dauernden Verbleibs als hoch eingeschätzt werden.</w:t>
      </w:r>
    </w:p>
    <w:p>
      <w:r>
        <w:rPr>
          <w:b/>
        </w:rPr>
        <w:t>E. 7.1</w:t>
      </w:r>
    </w:p>
    <w:p>
      <w:r>
        <w:t>Die in Richtung Marktwirtschaft gehenden Wirtschaftsreformen Vietnams waren in den vergangenen 20 Jahren äusserst erfolgreich. Gemäss Weltbank wuchs die Wirtschaft zwischen 1990 und 2010 im Durchschnitt jährlich um 7.3 Prozent, während sich das Pro-Kopf-Einkommen in dieser Zeit verfünffacht hat. Seit 2011, bei einem Wirtschaftswachstum von immerhin noch 5.9 Prozent, gilt Vietnam als Schwellenland. Das schnelle Wachstum hat allerdings auch seinen Preis und macht sich insbesondere durch eine rasch steigende Teuerung bemerkbar: Ende 2011 verzeichnete Vietnam eine Inflationsrate von 18.1 Prozent (Quelle: Staatssekretariat für Wirtschaft, &lt; http://www. seco.admin.ch &gt; Themen &gt; Länderinformationen &gt; Asien/Ozeanien &gt; Vietnam [Stand: August 2012, besucht im Januar 2013]). Das Volkseinkommen zwischen Stadt und Land ist allerdings ungleich verteilt. Nach wie vor leben 60 Prozent der Bevölkerung auf dem Land, erwirtschaften dort aber nur 20 Prozent des Volkseinkommens. Demgegenüber konzentriert sich im Grossraum der 10-Millionen-Metropole Ho-Chi-Minh-Stadt ein Viertel der Wirtschaftskraft (Quelle: Deutsches Auswärtiges Amt, http://www.auswaertiges-amt.de &gt; Aussen- und Europapolitik &gt; Länderinformationen &gt; Vietnam &gt; Wirtschaft [Stand: Oktober 2012, besucht im Januar 2013]).</w:t>
      </w:r>
    </w:p>
    <w:p>
      <w:r>
        <w:rPr>
          <w:b/>
        </w:rPr>
        <w:t>E. 7.2</w:t>
      </w:r>
    </w:p>
    <w:p>
      <w:r>
        <w:t>Vor dem Hintergrund erheblicher Inflation und wirtschaftlicher Ungleichheit manifestiert sich ein Wunsch nach Auswanderung vor allem bei denjenigen, die von der boomenden Wirtschaft nicht profitieren. Deutlich zeigt sich dies an den Rücküberweisungen von im Ausland lebenden Vietnamesen, die zur Leistungsbilanz ihres Ursprungslandes erheblich beitragen und die sich im Jahr 2011 auf 9 Mrd. US-Dollar beliefen (vgl. Deutsches Auswärtiges Amt, a.a.O.). Die Entscheidung auszuwandern fällt insbesondere denjenigen leichter, die bereits über ein Beziehungsnetz im Ausland verfügen.</w:t>
      </w:r>
    </w:p>
    <w:p>
      <w:r>
        <w:rPr>
          <w:b/>
        </w:rPr>
        <w:t>E. 8</w:t>
      </w:r>
    </w:p>
    <w:p>
      <w:r>
        <w:t>Die Gesuchstellerinnen, Mutter und Tochter, leben in einem gemeinsamen Haushalt in Ho-Chi-Minh-Stadt. A._______, geboren 1952, ist bereits Rentnerin; ihre ledige Tochter B._______, geboren 1982 und also noch relativ jung, hat sich in ihrem Visumsgesuch als Hausfrau (house-wife) bezeichnet und ist somit offensichtlich arbeitslos. Dass beide Frauen von ihren in der Schweiz lebenden Verwandten unterstützt werden, macht deutlich, dass sie zu denjenigen gehören, die aus dem Wirtschaftsboom ihrer Heimat bisher keinen Nutzen ziehen konnten. Erst recht ist daher davon auszugehen, dass die hohe Inflation bzw. Teuerung sie mehr als andere belastet und ihren Lebensstandard zunehmend schmälert.</w:t>
      </w:r>
    </w:p>
    <w:p>
      <w:r>
        <w:rPr>
          <w:b/>
        </w:rPr>
        <w:t>E. 8.1</w:t>
      </w:r>
    </w:p>
    <w:p>
      <w:r>
        <w:t>Ob A._______ nach dem geplanten Besuchsaufenthalt in ihr Heimatland zurückkehren würde, erscheint aber auch angesichts ihrer früheren Bemühungen um dauerhaften Verbleib in der Schweiz fraglich. So beantragte sie bereits im August 2008 ein Visum, um - für immer - zu ihrer im Kanton Solothurn lebenden Tochter C._______ einreisen zu können. Im März 2009 stellte dieselbe Tochter für sie ein Gesuch um Familiennachzug, welches im Mai 2010 von der zuständigen Migrationsbehörde abgelehnt wurde (vgl. Schreiben des Migrationsdienstes des Kantons Bern an C._______ vom 21. Oktober 2008 sowie Schreiben der Migrationsbehörde des Kantons Solothurn an das BFM vom 16. Oktober 2010).</w:t>
      </w:r>
    </w:p>
    <w:p>
      <w:r>
        <w:rPr>
          <w:b/>
        </w:rPr>
        <w:t>E. 8.2</w:t>
      </w:r>
    </w:p>
    <w:p>
      <w:r>
        <w:t>B._______ ist den vorinstanzlichen Akten zufolge bereits in den Jahren 2001, 2002 und 2003 in der Schweiz gewesen, zuletzt mit einer Aufenthaltsbewilligung für Kurzaufenthalter, die vom 24. Januar 2003 bis zum 23. Mai 2003 gültig war und für die erfolglos um eine weitere Verlängerung nachgesucht wurde. Der Umstand, dass die Gesuchstellerin in früheren Jahren wieder in ihr Heimatland zurückgekehrt ist, lässt allerdings nicht zwangsläufig auf eine auch heute noch vorhandene Rückkehrbereitschaft schliessen. In den vergangenen zehn Jahren haben sich nicht nur die wirtschaftlichen Verhältnisse in ihrem Heimatland verändert, sondern auch ihre persönlichen Lebensperspektiven, in der sich für sie - als jetzt über Dreissigjährige - kein finanziell unabhängiges Auskommen in ihrem Heimatland mehr abzuzeichnen scheint.</w:t>
      </w:r>
    </w:p>
    <w:p>
      <w:r>
        <w:rPr>
          <w:b/>
        </w:rPr>
        <w:t>E. 9</w:t>
      </w:r>
    </w:p>
    <w:p>
      <w:r>
        <w:t>Vor dem aufgezeigten Hintergrund durfte die Vorinstanz zu recht annehmen, dass die anstandslose Wiederausreise der Gesuchstellerinnen nicht gewährleistet sei. Daran ändert auch der Umstand nichts, dass die Beschwerdeführenden das Gegenteil behauptet haben, ist doch eine derartige Garantie weder faktisch noch rechtlich durchsetzbar. Gastgeber können zwar für gewisse finanzielle Risiken im Zusammenhang mit einem Besuchsaufenthalt garantieren, nicht jedoch für ein bestimmtes Verhalten ihrer Gäste (vgl. BVGE 2009/27 E. 9). Aus dem gleichen Grunde kann auch nicht auf das Referenzschreiben, das vom früheren Pflegevater des Gastgebers stammt und das die Beschwerdeführenden mit ihren Rechts­mitteleingaben eingereicht haben, abgestellt werden.</w:t>
      </w:r>
    </w:p>
    <w:p>
      <w:r>
        <w:rPr>
          <w:b/>
        </w:rPr>
        <w:t>E. 10</w:t>
      </w:r>
    </w:p>
    <w:p>
      <w:r>
        <w:t>Gründe für die Ausstellung von Visa mit räumlich beschränkter Gültigkeit (vgl. E. 5.5) werden von den Beschwerdeführenden nicht geltend gemacht und sind auch sonst nicht ersichtlich. Diesen ist es unbenommen, die Gesuchstellenden in deren Herkunftsstaat zu besuchen (vgl. entsprechende Angaben auf dem Fragebogen zuhanden der Migrationsbehörde des Kantons Solothurn, datiert am 30. August 2010).</w:t>
      </w:r>
    </w:p>
    <w:p>
      <w:r>
        <w:rPr>
          <w:b/>
        </w:rPr>
        <w:t>E. 11</w:t>
      </w:r>
    </w:p>
    <w:p>
      <w:r>
        <w:t>Aus vorstehenden Erwägungen folgt, dass die angefochtenen Verfügungen im Lichte von Art. 49 VwVG nicht zu beanstanden ist. Die Beschwerden sind daher abzuweisen.</w:t>
      </w:r>
    </w:p>
    <w:p>
      <w:r>
        <w:rPr>
          <w:b/>
        </w:rPr>
        <w:t>E. 12</w:t>
      </w:r>
    </w:p>
    <w:p>
      <w:r>
        <w:t>Bei diesem Ausgang des Verfahrens sind die Kosten den Be­schwerde­führenden aufzuerlegen (Art. 63 Abs. 1 VwVG i.V.m. Art. 1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