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C-1196/2018 vom 8. Mai 2018</w:t>
      </w:r>
    </w:p>
    <w:p>
      <w:r>
        <w:t>Bundesverwaltungsgericht, 2018-05-08, FR</w:t>
      </w:r>
    </w:p>
    <w:p>
      <w:r>
        <w:rPr>
          <w:b/>
        </w:rPr>
        <w:t xml:space="preserve">Quelle: </w:t>
      </w:r>
      <w:r>
        <w:t>https://mcp.opencaselaw.ch/entscheid/bvger_C-1196_2018</w:t>
      </w:r>
    </w:p>
    <w:p>
      <w:r>
        <w:t>FR: TAF C-1196/2018 du 8 mai 2018</w:t>
      </w:r>
    </w:p>
    <w:p>
      <w:r>
        <w:t>IT: TAF C-1196/2018 del 8 maggio 2018</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w:t>
      </w:r>
    </w:p>
    <w:p>
      <w:r>
        <w:t>Dans son recours l'intéressé fait valoir, outre le droit à une rente entière, subsidiairement à une demi-rente d'invalidité, une violation du droit d'être entendu du fait que l'autorité inférieure n'est pas entrée en matière sur ses objections contre le projet de décision du 4 décembre 2017 emportant l'annulation de la décision attaquée. Il relève qu'également le fait que celle-ci ait été notifiée directement à lui-même et non à son représentant au bénéfice d'une procuration rendait cette décision nulle. Les griefs d'ordre formel doivent être examinés en premier lieu.</w:t>
      </w:r>
    </w:p>
    <w:p>
      <w:r>
        <w:rPr>
          <w:b/>
        </w:rPr>
        <w:t>E. 3.1</w:t>
      </w:r>
    </w:p>
    <w:p>
      <w:r>
        <w:t>L'art. 57 al. 1 let. a - i LAI énonce les attributions des offices AI. Selon la let. g de cette disposition il ressort des attributions des offices AI de rendre les décisions relatives aux prestations de l'AI. L'art. 57a al. 1 LAI dispose qu'au moyen d'un préavis l'office AI communique à l'assuré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 57a al. 1, 2e phr. LAI l'énonce explicitement indiquant que l'assuré a le droit d'être entendu conformément à l'art. 42 LPGA aux termes duquel les parties ont le droit d'être entendues (al. 1, 1ère phr.). La procédure de préavis prévue par la loi (cf. not. l'art. 73bis al. 2 RAI) est impérative, son omission constitue une violation grave du droit d'être entendu, peu importe son apport dans un cas concret (arrêt du TF 8C_577/2008 du 7 novembre 2008 consid. 4.6).</w:t>
      </w:r>
    </w:p>
    <w:p>
      <w:r>
        <w:rPr>
          <w:b/>
        </w:rPr>
        <w:t>E. 3.2</w:t>
      </w:r>
    </w:p>
    <w:p>
      <w:r>
        <w:t>Selon l'art. 73ter al. 1 du règlement sur l'assurance-invalidité du 17 janvier 1961 (RAI, RS 831.201) les parties peuvent faire part à l'office AI de leurs observations sur le préavis dans un délai de 30 jours. Le délai précité est énoncé par le RAI. Le Tribunal fédéral a dans un premier temps laissé ouvert le point de savoir si le délai de 30 jours de l'art. 73ter al. 1 RAI est un délai légal non prolongeable ou un délai d'ordre susceptible d'être prolongé (arrêts du TF 9C_50/2008 du 8 septembre 2008 consid. 2, 9C_480/2008 du 27 janvier 2009) puis a qualifié ce délai d'ordre pouvant être prolongé pour de justes motifs (ATF 143 V 71 consid. 4.3 ; voir également ch. 3013.3 CPAI éd. 2017 et 2018). Dans sa version 2017, appliquée in casu par l'autorité inférieure, le ch. 3013.3 indiquait déjà la possibilité d'une prolongation de délai en ces termes « Le délai de 30 jours ne peut en principe être prolongé que dans des cas dûment motivés. Les art. 38 à 41 LPGA s'appliquent par ailleurs. Si toutefois, à l'expiration du délai de trois [recte : trente] jours mais avant que la décision ne soit rendue, l'assuré apporte de nouveaux éléments pouvant influer sur la décision, ceux-ci doivent être pris en compte ». Il sied de relever que le message du Conseil fédéral du 4 mai 2005 relatif aux mesures de simplification de la procédure, dont entre autres à la réintroduction de la procédure de préavis, indiquait que « le délai de 30 jours peut être prolongé pour des motifs suffisants, si la demande en est faite à temps » (FF 2005 2908).</w:t>
      </w:r>
    </w:p>
    <w:p>
      <w:r>
        <w:rPr>
          <w:b/>
        </w:rPr>
        <w:t>E. 3.3</w:t>
      </w:r>
    </w:p>
    <w:p>
      <w:r>
        <w:t>En l'espèce, l'autorité inférieure n'a pas établi quand son projet de décision daté du 4 décembre 2017 envoyé par pli simple directement à l'intéressé en France, et non à son représentant, lui a été notifié. Selon les informations en ligne de la Poste suisse (Informations internationales / France) le temps d'acheminement d'une lettre « economy » est de 4-8 jours après le jour de l'envoi. Dès lors et faute de preuve de notification apportée par l'autorité inférieure, le délai de l'intéressé pour se déterminer par rapport au projet de décision n'a selon toute vraisemblance commencé à courir, faute de point de départ antérieur pouvant être retenu, qu'entre le 9 et le 13 décembre 2017. Le délai a ensuite été suspendu du 18 décembre 2017 au 2 janvier 2018 y compris. Le terme de 30 jours tombait ainsi entre le 23 janvier 2018 et le lundi 29 janvier 2018 (art. 38 LPGA). C'est donc manifestement a tort que, d'une part, l'autorité inférieure a communiqué au représentant de l'intéressé par courrier du 19 janvier 2018 que le délai pour se déterminer était écoulé et, d'autre part, n'a pas répondu dans son courrier du 24 janvier 2018 favorablement à la demande de courte prolongation de délai contenue dans le courrier du 22 janvier 2018 du représentant de l'assuré encore dans le délai de détermination quant au projet de décision, alors même par ailleurs que sa notification était boiteuse. Le motif invoqué par l'OAI-B._______ pour ne pas accorder de prolongation de délai est par ailleurs inacceptable au regard du ch. 3013.3 CPAI et également de l'art. 32 al. 2 PA selon lesquels même hors délai des éléments propres à influencer la décision à rendre doivent être pris en compte tant que la décision (non le calcul de la rente effectué) n'a pas été rendue. Partant, en refusant de prendre en compte une contestation annoncée dans le délai de contestation du projet de décision pour laquelle un court délai supplémentaire a été sollicité dans les délais, plutôt que de demander à l'OAIE de surseoir au prononcé de la décision, l'OAI-B._______ a commis une violation grave du droit d'être entendu de l'assuré.</w:t>
      </w:r>
    </w:p>
    <w:p>
      <w:r>
        <w:rPr>
          <w:b/>
        </w:rPr>
        <w:t>E. 4.1</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 En particulier la procédure du préavis selon l'art. 57a al. 1 LAI, laquelle est obligatoire, qui renvoie à l'art. 42 LPGA, permet à l'assuré de se déterminer et de participer à l'instruction avant que l'autorité administrative ne rende une décision.</w:t>
      </w:r>
    </w:p>
    <w:p>
      <w:r>
        <w:rPr>
          <w:b/>
        </w:rPr>
        <w:t>E. 4.2</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 arrêt du TF 8C_414/2015 du 29 mars 2016 consid. 2.3). Dans le cas présent, la violation du droit d'être entendu étant particulièrement grave tant par la communication d'un terme largement erroné au droit d'être entendu ayant possiblement limité l'intéressé dans la défense de ses intérêts, que par un motif inacceptable de refus de prolongation du droit d'être entendu que par une notification par ailleurs boiteuse de la décision dont est recours, le Tribunal de céans ne peut guérir la violation du droit d'être entendu de l'assuré dans le cadre de l'échange des écritures sans restreindre la défense de ses intérêts. Il se justifie dès lors d'annuler la décision attaquée pour cause de violation grave du droit d'être entendu et de renvoyer le dossier à l'autorité inférieure afin qu'elle reprenne la procédure de préavis, examine les griefs de l'assuré formulés dans son opposition et rende ensuite, si nécessaire après avoir rendu un nouveau préavis, une nouvelle décision prenant en compte les griefs invoqués à l'encontre du projet de décision et examine et se détermine notamment sur la question de savoir s'il y a lieu d'ordonner une expertise pluridisciplinaire, requête étayée figurant dans les observations du recourant à l'encontre du projet de décision du 4 décembre 2017.</w:t>
      </w:r>
    </w:p>
    <w:p>
      <w:r>
        <w:rPr>
          <w:b/>
        </w:rPr>
        <w:t>E. 5.1</w:t>
      </w:r>
    </w:p>
    <w:p>
      <w:r>
        <w:t>Vu ce qui précède le recours est admis pour violation grave du droit d'être entendu. La cause est renvoyée à l'administration pour reprise de la procédure de préavis, instruction complémentaire et nouvelle décision. Le recourant obtient gain de cause.</w:t>
      </w:r>
    </w:p>
    <w:p>
      <w:r>
        <w:rPr>
          <w:b/>
        </w:rPr>
        <w:t>E. 5.2</w:t>
      </w:r>
    </w:p>
    <w:p>
      <w:r>
        <w:t>Vu l'issue du recours il n'est pas perçu de frais de procédure (art. 63 al. 2 PA).</w:t>
      </w:r>
    </w:p>
    <w:p>
      <w:r>
        <w:rPr>
          <w:b/>
        </w:rPr>
        <w:t>E. 6</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En l'espèce il est alloué au recourant une indemnité de dépens de 2'200.- francs à charge de l'autorité inférieure prenant en compte les griefs du recours tant au fond qu'à la forme, le recourant n'ayant pu faire l'économie des premiers, et de l'exposé des faits liés, en situation d'incertitude quant à l'appréciation par ce tribunal des seconds.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