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C-1195/2008 vom 13. August 2009</w:t>
      </w:r>
    </w:p>
    <w:p>
      <w:r>
        <w:t>Bundesverwaltungsgericht, 2009-08-13, DE</w:t>
      </w:r>
    </w:p>
    <w:p>
      <w:r>
        <w:rPr>
          <w:b/>
        </w:rPr>
        <w:t xml:space="preserve">Quelle: </w:t>
      </w:r>
      <w:r>
        <w:t>https://mcp.opencaselaw.ch/entscheid/bvger_C-1195_2008</w:t>
      </w:r>
    </w:p>
    <w:p>
      <w:r>
        <w:t>FR: TAF C-1195/2008 du 13 août 2009</w:t>
      </w:r>
    </w:p>
    <w:p>
      <w:r>
        <w:t>IT: TAF C-1195/2008 del 13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Visumsverfahren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122 II 485 E. 3, 122 II 234 E. 4.e,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Thailand findet sich in Anhang I, so dass die Gesuchstellerin als thailändische Staatsangehörige der Visumspflicht unterliegt.</w:t>
      </w:r>
    </w:p>
    <w:p>
      <w:r>
        <w:rPr>
          <w:b/>
        </w:rPr>
        <w:t>E. 7.1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Die wirtschaftliche Situation Thailands zeigte in den letzten Jahren ein robustes Wachstum, auch wenn innenpolitische Unsicherheit, aufkommende Gewalt in den vier südlichsten Provinzen sowie die Auswirkungen des verheerenden Tsunami von 2004 eine Verlangsamung des Wirtschaftswachstums bewirkt haben. Die weltweite Finanz- und Wirtschaftskrise sowie die zunehmend unsichere innenpolitische Situation (Besetzung der Flughäfen Ende November/Anfang Dezember 2008 sowie die Demonstrationen der politischen Opposition und die vorübergehende Verhängung des Ausnahmezustandes über Bangkok und die umliegenden Provinzen im April 2009) haben sich in den letzten Monaten deutlich negativ auf die wirtschaftliche Situation Thailands ausgewirkt (Quellen: Länder- und Reiseinformationen auf der Webseite des deutschen Auswärtigen Amtes: www.auswaertiges-amt.de &gt; Thailand &gt; Rubriken: Wirtschaft, Innenpolitik sowie Reise- und Sicherheitshinweise, Stand: Mai 2009 bzw. 15. Juli 2009; Background Notes auf der Webseite des US Aussenministeriums: www.state.gov &gt; Travel &gt; Countries and Regions &gt; Background Notes, Stand: Januar 2009. Beide Seiten besucht am 15. Juli 2009). Die Lebensbedingungen beträchtlicher Teile der Bevölkerung waren bereits vor den jüngsten Ereignissen in ökonomischer und sozialer Hinsicht vergleichsweise schwierig. Entsprechend hoch ist der Anteil jener Thailänder, die versuchen, ins Ausland zu gelangen, um sich unter günstigeren Lebensbedingungen eine bessere Existenz aufzubauen bzw. sichern zu können. Der Trend zeigt sich erfahrungsgemäss dort besonders stark, wo im Ausland durch die Anwesenheit von Verwandten oder Bekannten bereits ein minimales soziales Beziehungsnetz besteht.</w:t>
      </w:r>
    </w:p>
    <w:p>
      <w:r>
        <w:rPr>
          <w:b/>
        </w:rPr>
        <w:t>E. 7.3</w:t>
      </w:r>
    </w:p>
    <w:p>
      <w:r>
        <w:t>Angesichts der geschilderten Situation ist nicht zu beanstanden, wenn die Vorinstanz das Risiko einer nicht fristgerechten Wiederausreise von Besuchern aus Thailand generell als hoch einschätzt. Bei der Risikoanalyse sind jedoch nicht nur solch allgemeine Umstände und Erfahrungen zu berücksichtigen, sondern, wie erwähnt, sämtliche Gesichtspunkte des konkreten Einzelfalles. Obliegen dem Gesuchsteller oder der Gesuchstellerin im Heimatstaat besondere berufliche, gesellschaftliche oder familiäre Verpflichtungen, kann dieser Umstand durchaus die Prognose für eine anstandslose Wiederausreise begünstigen. Andererseits muss bei Gesuchstellerinnen und Gesuchstellern, die in der Heimat keine der erwähnten Verpflichtungen haben, die sie von einer möglichen Emigration abhalten könnten, aufgrund entsprechender Erfahrungen das Risiko eines fremdenpolizeilich nicht vorschriftsgemässen Verhaltens nach bewilligter Einreise als hoch eingeschätzt werden.</w:t>
      </w:r>
    </w:p>
    <w:p>
      <w:r>
        <w:rPr>
          <w:b/>
        </w:rPr>
        <w:t>E. 7.4</w:t>
      </w:r>
    </w:p>
    <w:p>
      <w:r>
        <w:t>Aus den Akten geht hervor, dass die Gesuchstellerin 41 Jahre alt und geschieden ist. Zum Zeitpunkt der Gesuchstellung war sie arbeitslos. Gemäss den Angaben der Botschaft vom 12. Dezember 2007 hat die Gesuchstellerin drei Kinder im Alter von damals 15, 14 und 7 Jahren. Sie sei im November 2007 geschieden worden und habe auf der Botschaft eine Bestätigung vorgelegt, welche sie als unverheiratet ausgewiesen habe. Auf die Frage, wozu sie diese Bestätigung brauche, gab die Gesuchstellerin an, sie schliesse eine Heirat nicht aus. Der Gastgeber sei ihr Freund ("boyfriend"). Gemäss Angaben des Gastgebers ist die Gesuchstellerin, welche er als seine Freundin bezeichnet, Mutter von Zwillingen im Teenageralter. Aus diesen Angaben ist nicht erkennbar, dass die Gesuchstellerin berufliche, familiäre oder gesellschaftliche Verpflichtungen hat, welche sie nachhaltig von einer Emigration abzuhalten vermögen. Zwar bestehen familiäre Bindungen zu den minderjährigen Kindern. Es sind jedoch Widersprüche zwischen den Angaben der Gesuchstellerin gegenüber der Botschaft und denjenigen des Beschwerdeführers im Beschwerdeverfahren erkennbar. Zudem schliesst die Gesuchstellerin offenbar eine Heirat in der Schweiz nicht aus. Aufgrunddessen kann die fristgerechte und anstandslose Wiederausreise nicht als gesichert angesehen werden. An dieser Stelle ist zu betonen, dass keine Zweifel an der Integrität des Beschwerdeführers und an seinem festen Willen bestehen, die Frist zur Wiederausreise zu respektieren (vgl. auch die Vernehmlassung der Vorinstanz vom 2. April 2008). Naturgemäss kann jedoch ein Gastgeber nur für gewisse finanzielle Risiken garantieren, mangels rechtlicher und faktischer Durchsetzbarkeit nicht aber für ein bestimmtes Verhalten des Gastes (vgl. das Urteil des Bundesverwaltungsgerichts C-6923/2007 vom 6. April 2009 E. 10 mit Hinweisen).</w:t>
      </w:r>
    </w:p>
    <w:p>
      <w:r>
        <w:rPr>
          <w:b/>
        </w:rPr>
        <w:t>E. 7.5</w:t>
      </w:r>
    </w:p>
    <w:p>
      <w:r>
        <w:t>Unter den gegebenen Umständen durfte die Vorinstanz zu Recht davon ausgehen, es bestehe aufgrund der Situation im Herkunftsland der Gesuchstellerin und deren persönlichen Verhältnissen nicht genügend Gewähr für die fristgerechte und anstandslose Wiederausreise nach einem Besuchsaufenthalt.</w:t>
      </w:r>
    </w:p>
    <w:p>
      <w:r>
        <w:rPr>
          <w:b/>
        </w:rPr>
        <w:t>E. 8</w:t>
      </w:r>
    </w:p>
    <w:p>
      <w:r>
        <w:t>Aus den vorstehenden Erwägungen folgt, dass die angefochtene Verfügung im Lichte von Art. 49 VwVG rechtmässig ist. Die Beschwerde ist daher abzuweisen.</w:t>
      </w:r>
    </w:p>
    <w:p>
      <w:r>
        <w:rPr>
          <w:b/>
        </w:rPr>
        <w:t>E. 9</w:t>
      </w:r>
    </w:p>
    <w:p>
      <w:r>
        <w:t>Bei diesem Ausgang des Verfahrens sind die Kosten dem Beschwerdeführer aufzuerlegen (Art. 63 Abs. 1 VwVG i.V.m. Art. 1 und Art. 3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