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C-1194/2006 vom 25. Juni 2007</w:t>
      </w:r>
    </w:p>
    <w:p>
      <w:r>
        <w:t>Bundesverwaltungsgericht, 2007-06-25, FR</w:t>
      </w:r>
    </w:p>
    <w:p>
      <w:r>
        <w:rPr>
          <w:b/>
        </w:rPr>
        <w:t xml:space="preserve">Quelle: </w:t>
      </w:r>
      <w:r>
        <w:t>https://mcp.opencaselaw.ch/entscheid/bvger_C-1194_2006</w:t>
      </w:r>
    </w:p>
    <w:p>
      <w:r>
        <w:t>FR: TAF C-1194/2006 du 25 juin 2007</w:t>
      </w:r>
    </w:p>
    <w:p>
      <w:r>
        <w:t>IT: TAF C-1194/2006 del 25 giugno 2007</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de la loi fédérale du 20 septembre 1952 sur l'acquisition et la perte de la nationalité suisse (Loi sur la nationalité, LN, RS 141.0).</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A._______, qui est directement touché par la décision entreprise, a qualité pour recourir (cf. art 20 al. 1 en relation avec l'art. 48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128 II 97 consid. 3a, 121 II 49 consid. 2b). Une communauté conjugale au sens de l'art. 27 al. 1 let. c et l'art. 28 al. 1 let. a LN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arrêt du Tribunal fédéral 5A.11/2003 du 31 juillet 2003 consid. 3.3.1; ATF 121 II précité).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128 II précité,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128 II précité; Jurisprudence des autorités administratives de la Confédération [JAAC] 67.104 et 67.103).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en relation avec l'art. 14 al. 1 de l'ordonnance du Conseil fédéral du 17 novembre 1999 sur l'organisation du Département fédéral de justice et police [Org DFJP, RS 172.213.1],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(cf. ATF 128 II 97 consid. 4a).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arrêt du Tribunal fédéral 5A.24/2004 du 2 décembre 2004, consid. 2.2 et jurisprudence citée).</w:t>
      </w:r>
    </w:p>
    <w:p>
      <w:r>
        <w:rPr>
          <w:b/>
        </w:rPr>
        <w:t>E. 5</w:t>
      </w:r>
    </w:p>
    <w:p>
      <w:r>
        <w:t>A titre préliminaire, il sied de relever que les conditions formelles de l'annulation de la naturalisation facilitée prévues à l'art. 41 al. 1 LN sont réalisées. En effet, la naturalisation facilitée accordée le 15 décembre 2005 à A._______ a été annulée par l'autorité inférieure, avec l'assentiment des autorités du canton d'origine, en date du 12 mai 2006, soit avant l'échéance du délai péremptoire de cinq ans prévu par la disposition précitée (cf. arrêts du Tribunal fédéral 5A.11/2002 du 23 août 2002 consid. 3 et 5A.3/2002 du 29 avril 2002 consid. 3).</w:t>
      </w:r>
    </w:p>
    <w:p>
      <w:r>
        <w:rPr>
          <w:b/>
        </w:rPr>
        <w:t>E. 6.1</w:t>
      </w:r>
    </w:p>
    <w:p>
      <w:r>
        <w:t>Il est dès lors nécessaire d'examiner si les circonstances présentes répondent aux conditions matérielles de l'annulation de la naturalisation facilitée issues du texte de la loi, de la volonté du législateur et de la jurisprudence développée en la matière.</w:t>
      </w:r>
    </w:p>
    <w:p>
      <w:r>
        <w:rPr>
          <w:b/>
        </w:rPr>
        <w:t>E. 6.2</w:t>
      </w:r>
    </w:p>
    <w:p>
      <w:r>
        <w:t>Il convient tout d'abord d'examiner le déroulement chronologique des faits de la cause, lequel est, en l'espèce, particulièrement parlant. Après avoir demandé sa naturalisation facilitée de manière anticipée le 1er mars 2004, A._______ a formulé derechef sa requête le 26 novembre de la même année, quelques jours avant l'échéance du délai de cinq ans à observer dès la prise de résidence en Suisse pour que l'ODM puisse se saisir du dossier. Le 14 juillet 2005, le recourant, d'entente avec son épouse, a déposé une requête commune en divorce assortie d'une convention sur les effets accessoires du divorce devant la Chambre civil de l'arrondissement de Lausanne. Le 2 août 2005, B._______ a pris un appartement à son nom. Le 7 septembre 2005, A._______ et B._______ ont été convoqués par le Président du Tribunal civil à une audience publique au cours de laquelle les parties "confirment qu'elles ont conclu au divorce et signé la convention de leur plein gré et après mure réflexion". Le Président les a également informés qu'il prononcera le divorce et ratifiera la convention pour autant que A._______ et B._______ confirment par écrit leur accord après un délai de deux mois. D'emblée, le TAF se doit de constater qu'en été 2005, et probablement également avant cette période, les époux ne se trouvaient déjà plus dans une communauté conjugale effective et stable. Bien que leur mariage n'était pas encore irrémédiablement dissout et qu'un dernier délai de réflexion leur était accordé, il faut néanmoins retenir, au vu de l'avancement de la procédure de divorce, de leur volonté commune de mettre un terme à leur union et de la prise de domiciles distincts, que leur vie de couple était manifestement plus orientée vers le passé que vers l'avenir. Le 3 octobre 2005, moins d'un mois après leur audience devant le Président du Tribunal civil, le recourant et son ex-épouse ont cependant signé la déclaration concernant la communauté conjugale, ce qui ne les a pas empêchés, respectivement les 16 et 18 novembre 2005, de confirmer à la justice civile leur décision de divorcer. Aussi, le Président du Tribunal civil a-t-il prononcé la dissolution du lien conjugal le 9 décembre 2005, six jours avant que l'ODM, qui ignorait ces faits, prononce la naturalisation facilitée du recourant.</w:t>
      </w:r>
    </w:p>
    <w:p>
      <w:r>
        <w:rPr>
          <w:b/>
        </w:rPr>
        <w:t>E. 6.3</w:t>
      </w:r>
    </w:p>
    <w:p>
      <w:r>
        <w:t>Il est patent que les importantes difficultés que le couple a traversées et qui ont mené à l'ouverture d'une procédure de divorce en juillet 2005 n'étaient pas connues de l'autorité intimée au moment où elle a statué. Il va sans dire que si l'ODM avait été correctement renseigné, il n'aurait pas mis le recourant au bénéfice de la naturalisation facilitée. A._______ reconnaît lui-même qu'au moment de la signature de la déclaration commune du 3 octobre 2005, son épouse vivait séparément de lui (cf. lettre du 2 mars 2006) et que la communauté conjugale au sens de l'art. 27 LN n'était plus réalisée (cf. courrier du 28 avril 2006). Il se défend pourtant d'avoir frauduleusement dissimulé ces informations à l'ODM. Le TAF ne saurait pourtant qualifier, autres que de mensongères, les informations qui ont été communiquées à l'autorité inférieure. En effet, le texte de la déclaration concernant la communauté conjugale du 3 octobre 2005 est sans équivoque: les candidats "certifient qu'ils vivent à la même adresse, non séparés, sous la forme d'une communauté conjugale effective et stable, et qu'ils n'ont aucune intention de se séparer ou de divorcer". En apposant sa signature sur ce document alors que la procédure de divorce entamée d'un commun accord était sur le point d'aboutir, le recourant a sciemment trompé l'ODM afin d'obtenir la naturalisation facilitée. A._______ tente d'expliquer son comportement par son état dépressif et le fait de ne pas avoir compris la question qui lui était posée. A la lecture du bref certificat médical du 24 avril 2006 produit en première instance, il apparaît que le recourant était suivi par son médecin généraliste depuis septembre 2004 pour un état dépressif avec forte anxiété et troubles du sommeil, lequel nécessitait une médication. Toutefois, le contenu de ce document ne permet pas de penser que A._______ était affecté par des troubles psychologiques importants propres à altérer durablement sa capacité de discernement. Au demeurant, cet état anxio-dépressif, qui n'est pas inhabituel lors d'une séparation ou d'une période de vie troublée, ne l'a nullement empêché de mener à terme sa procédure de divorce et de conclure une convention sur les effets accessoires du divorce, démarches non moins exigeantes que celles relevant de l'octroi de la citoyenneté suisse. Cet argument, qui semble avoir été essentiellement avancé pour les besoins de la cause, doit dès lors être écarté. De même, que le recourant ait entretenu de bonnes relations avec la famille de son ex-épouse ou qu'il ait espéré, jusqu'à la fin, pouvoir sauver son union avec B._______ n'est pas pertinent pour l'issue de la cause (cf. arrêt du Tribunal fédéral 5A.31/2006 du 16 octobre 2006 consid. 2 in fine), la question déterminante étant celle de l'obtention, par le recourant, d'une naturalisation facilitée suite à un comportement déloyal. Le recourant erre encore lorsqu'il prétend, suite au mariage qu'il a contracté le 14 septembre 2006 (neuf mois après son divorce), remplir à nouveau toutes les conditions nécessaires à l'octroi d'une naturalisation facilitée. Si sa situation matrimoniale nouvelle lui ouvrira, après trois ans de communauté conjugale avec C._______, les portes de l'art. 27 LN, elle n'emporte pas pour autant un effet réparateur sur les déclarations trompeuses qui lui ont permis d'obtenir frauduleusement la citoyenneté helvétique. Aussi, force est de conclure que l'ODM a été induit en erreur par le recourant quant à la réalité de son union avec son ex-épouse et que cet Office était fondé à procéder à l'annulation de sa naturalisation conformément à l'art. 41 LN.</w:t>
      </w:r>
    </w:p>
    <w:p>
      <w:r>
        <w:rPr>
          <w:b/>
        </w:rPr>
        <w:t>E. 7</w:t>
      </w:r>
    </w:p>
    <w:p>
      <w:r>
        <w:t>Compte tenu de ces circonstances, il appert que la décision du 12 mai 2006 de l'ODM est conforme au droit. En conséquence, le recours est rejeté. Vu l'issue de la cause, il y a lieu de mettre les frais de la procédure de recours à la charge du recourant, conformément à l'art.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