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C-1193/2006 vom 19. März 2008</w:t>
      </w:r>
    </w:p>
    <w:p>
      <w:r>
        <w:t>Bundesverwaltungsgericht, 2008-03-19, FR</w:t>
      </w:r>
    </w:p>
    <w:p>
      <w:r>
        <w:rPr>
          <w:b/>
        </w:rPr>
        <w:t xml:space="preserve">Quelle: </w:t>
      </w:r>
      <w:r>
        <w:t>https://mcp.opencaselaw.ch/entscheid/bvger_C-1193_2006</w:t>
      </w:r>
    </w:p>
    <w:p>
      <w:r>
        <w:t>FR: TAF C-1193/2006 du 19 mars 2008</w:t>
      </w:r>
    </w:p>
    <w:p>
      <w:r>
        <w:t>IT: TAF C-1193/2006 del 19 marzo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X._______ a qualité pour recourir (cf. art 48 al. 1 PA). La question de savoir si Y._______, qui a formé conjointement recours contre la décision de l'Office fédéral du 2 juin 2006, a également qualité pour recourir contre la décision précitée peut se poser au regard de la nouvelle teneur de l'art. 48 al. 1 PA entrée en vigueur le 1er janvier 2007. Cette question peut toutefois demeurer indécise, dès lors que les prénommés ont agi conjointement en déposant un seul acte de recours et qu'il est entré en matière sur le recours en tant qu'il a été formé par X._______. Présenté dans la forme et les délais prescrits par la loi, le recours est recevable (cf. art. 50ss PA).</w:t>
      </w:r>
    </w:p>
    <w:p>
      <w:r>
        <w:rPr>
          <w:b/>
        </w:rPr>
        <w:t>E. 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2.1</w:t>
      </w:r>
    </w:p>
    <w:p>
      <w:r>
        <w:t>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5A.11/2003 du 31 juillet 2003, consid. 3.3.1). Une demande en divorce déposée peu après l'obtention de la naturalisation facilitée est un indice d'absence de cette volonté lors de l'octroi de la nationalité suisse (ATF 128 précité, 121 précité).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67.103 consid. 20a).</w:t>
      </w:r>
    </w:p>
    <w:p>
      <w:r>
        <w:rPr>
          <w:b/>
        </w:rPr>
        <w:t>E. 2.2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3</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3.1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l'arrêt du Tribunal fédéral 1C_379/2007 du 7 décembre 2007, consid. 5).</w:t>
      </w:r>
    </w:p>
    <w:p>
      <w:r>
        <w:rPr>
          <w:b/>
        </w:rPr>
        <w:t>E. 3.2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les arrêts du Tribunal fédéral 1C_379/2007 précité, consid. 4, et 1C_294/2007 du 30 novembre 2007, consid. 3.4).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4</w:t>
      </w:r>
    </w:p>
    <w:p>
      <w:r>
        <w:t>A titre préliminaire, le TAF constate que les conditions formelles de l'annulation de la naturalisation facilitée prévues par l'art. 41 al. 1 LN sont réalisées dans le cas particulier. En effet, la naturalisation facilitée accordée le 9 avril 2002 à X._______ a été annulée par l'autorité intimée en date du 2 juin 2006, soit avant l'échéance du délai péremptoire de cinq ans prévu par la disposition précitée (cf. sur cette question notamment les arrêts du Tribunal fédéral 1C_231/2007 du 14 novembre 2007, consid. 4 et 5A.11/2002 du 23 août 2002, consid. 3), avec l'assentiment de l'autorité du canton d'origine (canton de Fribourg).</w:t>
      </w:r>
    </w:p>
    <w:p>
      <w:r>
        <w:rPr>
          <w:b/>
        </w:rPr>
        <w:t>E. 5</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5.1</w:t>
      </w:r>
    </w:p>
    <w:p>
      <w:r>
        <w:t>X._______ est arrivé en Suisse en octobre 1990 afin d'y déposer une demande d'asile. Après l'échec de cette procédure, il a présenté une nouvelle demande d'asile auprès des autorités helvétiques en juin 1994. Cette seconde requête a été rejetée en octobre 1994. L'intéressé, qui a alors été mis au bénéfice d'une admission provisoire, levée par l'ODR en août 1996, s'est marié devant les autorités d'état civil fribourgeoises, le 25 octobre 1996, avec une ressortissante suisse. Ayant obtenu une autorisation de séjour liée à son statut d'époux d'une ressortissante suisse, X._______ a déposé une demande de naturalisation facilitée le 18 octobre 1999, soit presque trois ans jour pour jour après son mariage. Le 4 février 2002, l'intéressé et son épouse ont signé une déclaration commune attestant de la stabilité de leur union. La naturalisation facilitée a été accordée au recourant par l'Office fédéral le 9 avril 2002. X._______ et son épouse se sont toutefois séparés moins d'une année plus tard, à savoir le 1er avril 2003 (cf. notamment lettre C du préambule de la convention de séparation de corps signée le 1er mai 2003 par les prénommés). Le 1er mai 2003 également, le recourant et son épouse ont introduit une requête commune de séparation de corps devant l'autorité judiciaire compétente de Fribourg, qui a prononcé ladite séparation par jugement du 17 novembre 2003 pour une durée indéterminée. Ce jugement est devenu définitif et exécutoire le 20 décembre 2003. Au mois d'août 2003 déjà, X._______ a fait la connaissance à Fribourg d'une ressortissante ivoirienne (cf. déclaration écrite de cette dernière du 23 août 2006). Dès la fin de l'année 2003 ou, selon la version des faits à laquelle l'on se réfère, au début de l'année 2004, l'intéressé a noué une liaison avec la ressortissante ivoirienne précitée de plus de onze ans sa cadette (cf. à cet égard respectivement p. 4 ch. 4 des observations écrites de X._______ du 25 avril 2006 et déclaration écrite de cette dernière du 23 août 2006), qui lui a donné un enfant en octobre 2004 et s'apprêtait, à l'époque où elle avait rédigé sa déclaration écrite d'août 2006, à accoucher de leur deuxième enfant commun. Ces éléments et leur enchaînement chronologique particulièrement rapide sont de nature à fonder la présomption de fait que, conformément à la jurisprudence (cf. en ce sens notamment l'arrêt du Tribunal fédéral 5A.22/2006 du 13 juillet 2006, consid. 4.3), la stabilité requise du mariage n'existait déjà plus au moment de la signature de la déclaration de vie commune, à tout le moins lors du prononcé de la naturalisation, et cela quand bien même les époux ne vivaient pas encore séparés au moment de la naturalisation. L'expérience générale de la vie enseigne en effet qu'un ménage uni depuis plusieurs années ne se brise pas en une période aussi brève (soit en un laps de temps tel que celui qui, en l'espèce, s'est écoulé entre la déclaration de vie commune [février 2002] et la séparation du couple [avril 2003]),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Le recourant n'avance aucun élément qui permettrait de comprendre pourquoi la communauté conjugale formée avec son épouse, bien que prétendument encore intacte en avril 2002 (époque à laquelle a été prononcée la naturalisation de l'intéressé) ne l'était déjà plus un an après. Les explications données par X._______, selon lesquelles le motif déterminant qui aurait conduit à la séparation du couple consistait dans le problème lié à l'annonce faite à son épouse, au retour d'un voyage en Angola en juillet 2002, de son désir d'avoir un enfant, - désir que ne pouvait combler la prénommée âgée de 53 ans à l'époque - , n'apparaissent pas convaincantes. Indépendamment du fait qu'Y._______ n'a nullement abordé cette question lors de son audition du 10 janvier 2006, il convient de relever qu'en s'unissant à une personne âgée de 47 ans déjà au moment de la célébration du mariage, l'intéressé devait savoir que les chances pour leur couple d'avoir des enfants étaient considérablement réduites, voire nulles. Le désir de X._______ d'avoir une descendance ne constituait donc pas un événement imprévu, aux conséquences si extraordinaires qu'elles auraient provoqué une brusque rupture de la communauté conjugale (cf. en ce sens notamment l'arrêt du Tribunal fédéral 5A.11/2006 précité, consid. 4.1). Le recourant soutient par ailleurs qu'au motif principal de la séparation évoqué auparavant se sont ajoutés les difficultés et le surcroît de fatigue occasionnés à Y._______ par les fréquents déplacements qu'elle a accomplis entre Fribourg et Berne pour se rendre au chevet de sa mère malade et poursuivre l'exercice de son activité lucrative. Aux dires de l'intéressé, cette situation a alors conduit la prénommée, qui était de surcroît traitée à l'époque pour un cancer, à devoir se constituer, à partir du 1er avril 2003, un domicile séparé près de Berne. Pareille allégation n'est pas davantage convaincante. En effet, il est inconcevable qu'un couple uni et heureux - comme le décrit le recourant -, marié de surcroît depuis plus de six ans, se résigne à mettre fin à la cohabitation et à entreprendre une procédure de séparation de corps en raison des seules difficultés liées aux déplacements, notamment à but professionnel, que l'épouse de l'intéressé a été amenée à accomplir dans un canton frontalier à celui où ils étaient domiciliés; on ne peut que s'étonner que la séparation se soit imposée d'emblée comme l'unique solution entrant en ligne de compte. En effet, les difficultés engendrées par la fréquence des déplacements d'Y._______ dans la région de Berne ne s'avéraient pas insurmontables pour le couple, tant il est vrai que X._______ était raisonnablement en mesure d'emménager avec son épouse dans un logement commun (par exemple en ville de Berne) et d'effectuer les voyages quotidiens nécessités par l'exercice de son activité professionnelle dans le canton de Fribourg. Bien que le recourant prétende qu'il s'agissait-là des facteurs essentiels ayant entraîné la séparation des conjoints, son épouse n'en a pas moins reconnu, dans le cadre de son audition du 10 janvier 2006, qu'elle-même avait ressenti le besoin de prendre de la distance et voulu finalement vivre sa vie de la façon qu'elle entendait (cf. réponse à la question no 8 du procès-verbal d'audition). Les propos formulés en ce sens par Y._______ tendent en effet à démontrer que la désunion au sein du couple était plus profonde que ne veut bien le laisser entendre le recourant et s'avérait, donc, latente déjà lors de l'octroi de la naturalisation à l'intéressé. Cette conclusion trouve au demeurant confirmation dans les précisions données quant à l'attitude d'Y._______ par rapport au désir de paternité de son époux. Il y a lieu en effet d'observer que la prénommée, qui a indiqué avoir compris le souhait de X._______ d'avoir, conformément aux règles de sa culture, une descendance (cf. p. 11 du mémoire de recours, ad ch. 7.2), n'a pas voulu poursuivre la vie de couple avec le recourant, parce qu'elle ne pouvait, selon ce qui résulte de la déclaration écrite du frère de cette dernière du 8 janvier 2007 produite dans le cadre de la procédure de recours, accepter, pour des raisons morales et éthiques, de s'insérer dans une relation triangulaire avec l'intéressé et la future mère de son enfant. La question relative au désir de paternité de X._______, qui, comme relevé ci-dessus, devait logiquement avoir été abordée au sein du couple bien avant le voyage de ce dernier dans son pays en juillet 2002, apparaît, compte tenu de la position d'Y._______ à ce sujet, avoir nécessairement été aussi une source latente de conflit entre les époux au moment de la naturalisation de l'intéressé déjà. A cet égard, il importe peu pour l'issue de la cause que l'idée de la séparation ne soit pas venue de X._______ mais, comme l'a soutenu à réitérées reprises ce dernier, de son épouse (cf. notamment arrêts du Tribunal fédéral 5A.31/2006 du 16 octobre 2006, consid. 2 in fine et 5A.24/2004 du 2 décembre 2004, consid. 4.2). A noter du reste que les assertions du recourant et de son épouse prêtant à celle-ci l'initiative de la séparation se trouvent contredites par les indications mentionnées dans les pièces du dossier relatif à la procédure de séparation de corps intervenue entre ces derniers. Ainsi que le révèlent clairement les actes de procédure établis en la circonstance, il appert en effet que semblable procédure a été ouverte par une requête commune des conjoints avec accord complet, requête à laquelle a été jointe une convention sur les effets accessoires de la séparation signée par chacun des époux (cf. consid. B de l'exposé des faits du jugement du Président du Tribunal civil de l'arrondissement de la Sarine du 17 novembre 2003). Dans son argumentation, le recourant prétend d'autre part que la séparation d'avec son épouse ne remet nullement en cause leur mariage, en ce sens qu'ils continueraient d'entretenir une liaison conjugale empreinte d'une grande profondeur et force affective. Certes, selon la jurisprudence (cf. notamment ATF 128 II 97 consid. 3a, 121 II 49 consid. 2b), on peut admettre, dans certains cas exceptionnels, la persistance d'une communauté de vie même lorsque les époux ont cessé d'avoir un domicile unique, mais pour autant que la création de domiciles séparés repose sur des raisons plausibles (par ex. contraintes professionnelles ou état de santé) et que la stabilité du mariage ne soit manifestement pas en cause, hypothèse qui, au vu des éléments d'appréciation exposés ci-dessus, n'est manifestement pas réalisée dans le cas particulier. Au demeurant, si tant est que le recourant et son épouse avaient l'intention de conserver des rapports matrimoniaux constitutifs d'une union conjugale pleinement vécue, l'on ne comprend pas pour quelle raison ces derniers ont alors entamé des démarches en vue d'une séparation judiciaire prévue pour une durée indéterminée. A cela s'ajoute que la persistance d'une communauté conjugale - laquelle implique, au sens de l'art. 27 al. 1 LN, non seulement l'existence formelle d'un mariage, mais encore une véritable communauté de vie des conjoints (cf. notamment ATF 130 II 169 consid. 2.3.1, 128 précité), ce qui, sous réserve des situations exceptionnelles décrites ci-avant, n'est plus le cas lorsque les époux vivent séparés de fait ou judiciairement (cf. ATF 121 précité, ibid., et réf. citées) - ne saurait s'accommoder, comme dans l'affaire d'espèce, de l'existence parallèle d'une liaison entre l'un des époux et une tierce personne avec laquelle ce dernier aurait des enfants, sinon à seule fin de sauvegarder l'apparence d'un mariage qui n'est (plus) que formel. Les divers éléments exposés précédemment sont dès lors de nature à justifier le bien-fondé de la présomption des autorités helvétiques concernant le caractère frauduleux de la demande de naturalisation.</w:t>
      </w:r>
    </w:p>
    <w:p>
      <w:r>
        <w:rPr>
          <w:b/>
        </w:rPr>
        <w:t>E. 5.2</w:t>
      </w:r>
    </w:p>
    <w:p>
      <w:r>
        <w:t>Cette présomption est corroborée au demeurant par plusieurs autres indices. Il s'avère en effet que le mariage contracté par X._______ et Y._______ est intervenu alors que le premier nommé avait vainement tenté à deux reprises de s'établir en Suisse en y requérant le statut de réfugié et que sa présence en ce pays ne revêtait qu'un caractère provisoire (l'intéressé étant sous le coup d'une décision de levée d'admission provisoire contre laquelle il avait recouru). Il est certes vraisemblable que les préparatifs du mariage se sont déroulés avant la décision de levée de l'admission provisoire rendue par l'ODR en août 1996 et contestée ensuite par X._______ auprès de la CRA. Quand bien même ce fut Y._______ qui ait voulu fonder un couple avec l'intéressé (cf. déclaration écrite de cette dernière des 7 et 8 janvier 2007 versée au dossier), il n'en demeure pas moins que les prénommés ont pris la décision de se marier alors qu'une telle procédure de levée d'admission provisoire était pendante. Si l'influence exercée par le rejet d'une demande d'asile (ou plus particulièrement, comme cela était le cas pour le recourant, par la levée d'une admission provisoire)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voir aussi l'arrêt du Tribunal fédéral 5A.11/2006 du 27 juin 2006, consid. 3.2), tel est précisément le cas en l'espèce. Le recourant s'est en effet marié avec une femme de vingt-trois ans son aînée, divorcée et mère de famille, situation tout à fait inhabituelle dans le milieu socioculturel dont l'intéressé est issu (cf. notamment arrêt du Tribunal fédéral 5A.22/2006 précité, consid. A.a et 4.3). Invitée à s'exprimer sur ce point lors de son audition du 10 janvier 2006, Y._______ a au demeurant admis que leur différence d'âge avait assurément joué un rôle dans la séparation des époux (cf. réponse à la question no 6 du procès-verbal d'audition). Le fait que X._______ ait, après le départ de son épouse, noué alors une liaison avec une ressortissante de Côte d'Ivoire de onze ans sa cadette et dont il a eu deux enfants apparaît à cet égard très révélateur (on notera que, selon une autre déclaration de l'intéressé, cette liaison participait également des motifs ayant conduit à la séparation et serait, donc, antérieure à celle-ci [cf. p. 6 de ses déterminations écrites du 21 avril 2006]). En outre, il n'est pas sans importance de relever dans ce contexte qu'Y._______, interrogée lors de son audition du 10 janvier 2006, sur les circonstances de son mariage avec le recourant, a précisé avoir perdu à cette époque sa place de travail et ne pas se sentir bien (cf. réponse à la question no 1 du procès-verbal d'audition). Par ailleurs, il est symptomatique que l'épouse du recourant, évoquant, au cours de cette même audition, les difficultés ayant surgi au sein du couple, ait fait alors référence aux divergences culturelles existant entre les conjoints et aux intérêts personnels distincts de chacun de ces derniers, notamment quant aux sorties effectuées à l'extérieur (cf. réponses aux questions no 3 et no 6 du procès-verbal d'audition). Ces éléments et leur déroulement chronologique amènent le TAF, en l'absence de contre-preuves pertinentes de la part du recourant, à conclure que, même si les conjoints avaient, selon les déclarations écrites versées au dossier, maintenu l'apparence d'une communauté conjugale intacte à l'égard de leurs proches et des tiers, les liens qui les unissaient ne présentaient déjà plus l'intensité requise lors de la signature de la déclaration commune ou, a fortiori, au moment de la naturalisation. Partant, l'Office fédéral était parfaitement fondé à considérer que la naturalisation facilitée conférée à l'intéressé en date du 9 avril 2002 avait été obtenue par la dissimulation de faits essentiels et à prononcer, avec l'assentiment du canton d'origine, l'annulation de cette naturalisation.</w:t>
      </w:r>
    </w:p>
    <w:p>
      <w:r>
        <w:rPr>
          <w:b/>
        </w:rPr>
        <w:t>E. 6</w:t>
      </w:r>
    </w:p>
    <w:p>
      <w:r>
        <w:t>Dans le cadre de la procédure de recours, X._______ réitère sa requête tendant à l'audition de son épouse et de diverses autres personnes. Il demande également à être entendu personnellement. En l'occurrence, le TAF estime que les faits de la cause sont suffisamment établis par les pièces figurant au dossier, de sorte qu'il ne s'avère pas indispensable de donner suite à la requête formulée par le recourant en vue de son audition personnelle, de celle de son épouse et des autres personnes citées dans ses écritures. En particulier, le TAF ne voit pas ce que des explications orales supplémentaires de la part de ces personnes apporteraient dans la présente affaire, au vu des développements antérieurs. A noter, indépendamment du fait qu'Y._______ a été entendue par la police cantonale bernoise sur les circonstances de son mariage avec l'intéressé et sur les motifs de leur séparation, que les personnes concernées ont toutes pu verser des dépositions écrites au dossier. Au demeurant, l'audition de témoins n'est prévue qu'à titre subsidiaire en procédure administrative (art. 14 al. 1 PA [cf. ATF 130 II 169 consid. 2.3.3]). En outre, il n'est procédé à l'audition personnelle de tiers que si cela paraît indispensable à l'établissement des faits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130 II 425 consid. 2.1; JAAC 69.78 consid. 5a). En l'occurrence, les éléments essentiels sur lesquels le TAF a fondé son appréciation ressortent du dossier et ne nécessitent donc aucun complément d'instruction.</w:t>
      </w:r>
    </w:p>
    <w:p>
      <w:r>
        <w:rPr>
          <w:b/>
        </w:rPr>
        <w:t>E. 7</w:t>
      </w:r>
    </w:p>
    <w:p>
      <w:r>
        <w:t>Il ressort de ce qui précède que, par sa décision du 2 juin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