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C-1191/2006 vom 31. Oktober 2008</w:t>
      </w:r>
    </w:p>
    <w:p>
      <w:r>
        <w:t>Bundesverwaltungsgericht, 2008-10-31, DE</w:t>
      </w:r>
    </w:p>
    <w:p>
      <w:r>
        <w:rPr>
          <w:b/>
        </w:rPr>
        <w:t xml:space="preserve">Quelle: </w:t>
      </w:r>
      <w:r>
        <w:t>https://mcp.opencaselaw.ch/entscheid/bvger_C-1191_2006</w:t>
      </w:r>
    </w:p>
    <w:p>
      <w:r>
        <w:t>FR: TAF C-1191/2006 du 31 octobre 2008</w:t>
      </w:r>
    </w:p>
    <w:p>
      <w:r>
        <w:t>IT: TAF C-1191/2006 del 31 ottobre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VGG). 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(Art. 50 und Art. 52 VwVG).</w:t>
      </w:r>
    </w:p>
    <w:p>
      <w:r>
        <w:rPr>
          <w:b/>
        </w:rPr>
        <w:t>E. 2.1</w:t>
      </w:r>
    </w:p>
    <w:p>
      <w:r>
        <w:t>Die Parteivertreterin regt im Sinne einer Beweisofferte an, die heutige Ehefrau zur Dauer und Art ihrer Beziehung zum Beschwerdeführer zu befragen. Im Verwaltungs(beschwerde)verfahren gilt grundsätzlich das Untersuchungsprinzip, das durch die Mitwirkungspflicht der Parteien ergänzt wird (vgl. Art. 12 und Art.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nur dann vorzunehmen, wenn hierzu aufgrund der Parteivorbringen oder anderer sich aus den Akten ergebender Anhaltspunkte Anlass besteht.</w:t>
      </w:r>
    </w:p>
    <w:p>
      <w:r>
        <w:rPr>
          <w:b/>
        </w:rPr>
        <w:t>E. 2.2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Urteil des Bundesverwaltungsgerichts C-1170/2006 vom 3. August 2007 E. 3.1 u. 3.2). Eine solche Situation ist hier gegeben. Es ist nicht davon auszugehen, dass eine ergänzende Einvernahme der zweiten Ehefrau zu massgebenden neuen Erkenntnissen führen würde, hat sie in einem der Rechtsmitteleingabe beigelegten Schreiben vom 5. Juni 2006 doch bereits bestätigt, sie habe den Beschwerdeführer im Zeitraum der Zeugung nur einmal getroffen und sei sich in der Folge - weil sie noch eine andere Beziehung unterhalten habe - nicht sicher gewesen, wer der Vater des Kindes sei. Wie aufzuzeigen sein wird, genügen die vorhandenen Unterlagen, um die zu beurteilenden Rechtsfragen zu beantworten. Dem Antrag auf eine Befragung der erwähnten Person ist demzufolge nicht stattzugeben.</w:t>
      </w:r>
    </w:p>
    <w:p>
      <w:r>
        <w:rPr>
          <w:b/>
        </w:rPr>
        <w:t>E. 3.1</w:t>
      </w:r>
    </w:p>
    <w:p>
      <w:r>
        <w:t>Nach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130 II 482 E. 2 S. 483 f., BGE 129 II 401 E. 2.2 S. 403, BGE 128 II 97 E. 3a S. 98 f.).</w:t>
      </w:r>
    </w:p>
    <w:p>
      <w:r>
        <w:rPr>
          <w:b/>
        </w:rPr>
        <w:t>E. 3.2</w:t>
      </w:r>
    </w:p>
    <w:p>
      <w:r>
        <w:t>Der Begriff der 'ehelichen Gemeinschaft' bedeutet nach der bundesgerichtlichen Rechtsprechung mehr als nur das formelle Bestehen einer Ehe. Verlangt wird vielmehr eine tatsächliche Lebensgemeinschaft, getragen vom Willen, die Ehe auch künftig aufrecht zu erhalten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130 II 482 E. 2 S. 483 f.).</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BZP).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Vorinstanz betrachtet die Voraussetzungen für die Nichtigerklärung der erleichterten Einbürgerung aufgrund der Umstände der Heirat, des Altersunterschieds, der kurzen Zeitspanne zwischen erleichterter Einbürgerung und Einreichung des gemeinsamen Scheidungsbegehrens, des angegebenen Scheidungsgrundes sowie der am 27. Juni 2002 erfolgen Heirat des Beschwerdeführers mit einer Landsfrau, mit welcher er im Januar 2000 (und damit schon während der Ehe mit der Schweizerin) ein Kind gezeugt hatte, als erfüllt. Mit Blick auf die beiden letztgenannten Aspekte geht die Vorinstanz zudem davon aus, dass der Betroffene der Einbürgerungsbehörde sowohl eine aussereheliche Beziehung als auch die Geburt eines ausserehelichen Kindes pflichtwidrig verschwiegen hat.</w:t>
      </w:r>
    </w:p>
    <w:p>
      <w:r>
        <w:rPr>
          <w:b/>
        </w:rPr>
        <w:t>E. 5.1</w:t>
      </w:r>
    </w:p>
    <w:p>
      <w:r>
        <w:t>Aus den Akten ergibt sich, dass der Beschwerdeführer Ende 1992 in die Schweiz einreiste und hier ein Asylgesuch stellte. Dieses wurde am 21. Juni 1993 erstinstanzlich abgewiesen (Ausreisefrist: 15. September 1993). Gegen den negativen Asylentscheid bzw. die damit verbundene Wegweisung legte er ein Rechtsmittel ein. Gemäss den übereinstimmenden Angaben der Parteien haben sie sich im Sommer 1993, während des Asylbeschwerdeverfahrens, kennengelernt. Ungefähr im November 1993 hätten sie sich zur Heirat entschlossen, der Anstoss hierzu sei von beiden ausgegangen. Am 24. Dezember 1993 heiratete der Beschwerdeführer im Kanton Aargau seine Schweizer Freundin, die mehr als 35 Jahre älter ist als er. Nach Rückzug der Asylbeschwerde wurde ihm im Rahmen des Familiennachzugs eine Aufenthaltsbewilligung erteilt. Aktenmässig erstellt ist des Weiteren, dass die erleichterte Einbürgerung am 16. Juli 2001 erfolgte und sich die Eheleute auf den 1. Februar 2002 trennten. Das gemeinsame Scheidungsbegehren unterzeichneten sie am 5. Februar 2002. Nach der Anhörung vom 20. Februar 2002 durch das Bezirksgericht P._______ (in der beide Ehegatten unabhängig voneinander bestätigten, sich nach reiflicher Überlegung zu diesem Schritt entschlossen zu haben) wurde die Ehe mit Urteil vom 29. April 2002 geschieden (Urteil am 7. Mai 2002 in Rechtskraft erwachsen). Der Grund für die Scheidung lag nach Darstellung der schweizerischen Ex-Gattin darin, dass sich ihre Wünsche und Bedürfnisse nach der Pensionierung im Jahre 2001 komplett verändert hätten und sie ihr Leben neu habe gestalten wollen. Am 27. Juni 2002 heiratete der Beschwerdeführer im Kosovo eine gegenüber ihm sieben Jahre jüngere Frau aus seinem Kulturkreis. Mit der zweiten Ehegattin hatte er im Januar 2000, also noch während der Ehe mit der Schweizerin und während des Einbürgerungsverfahrens, einen Sohn gezeugt. Den eingereichten Dokumenten zufolge hat er das Kind am 27. Juni 2002 - also dem Zeitpunkt seiner Heirat - anerkannt. Kontrovers geblieben ist, ab wann der Beschwerdeführer effektiv von der Existenz des ausserehelichen Kindes wusste und ob er mit der Kindsmutter in der Zeit zwischen Januar 2000 und Sommer 2002 ein Verhältnis gepflegt hat. Darauf wird an anderer Stelle (E. 6.6) zurückzukommen sein.</w:t>
      </w:r>
    </w:p>
    <w:p>
      <w:r>
        <w:rPr>
          <w:b/>
        </w:rPr>
        <w:t>E. 5.2</w:t>
      </w:r>
    </w:p>
    <w:p>
      <w:r>
        <w:t>Allein schon die dargelegten Eckdaten, namentlich die Korrelation zwischen dem Asylverfahren und der Aufnahme einer Beziehung zu einer Schweizerbürgerin mit nachfolgender Heirat nach kurzer Bekanntschaft, der mit über 35 Jahren ausgesprochen grosse Altersunterschied, die Zeugung eines ausserehelichen Kindes mit einer gegenüber der Ehefrau wesentlich jüngeren Frau aus seinem Kulturkreis, die Einreichung eines gemeinsamen Scheidungsbegehrens gerade mal sechseinhalb Monate nach Erhalt des Bürgerrechts und die Heirat mit der Kindsmutter kurz nach der Scheidung von der Schweizer Ehefrau begründen eine tatsächliche Vermutung dafür, dass im Zeitpunkt der persönlichen Erklärung des Ehepaars bzw. der erleichterten Einbürgerung keine stabile, auf die Zukunft gerichtete eheliche Gemeinschaft mehr bestanden haben kann (zur Bedeutung und Tragweite der tatsächlichen Vermutung im Verfahren auf Nichtigerklärung der erleichterten Einbürgerung vgl. grundlegend BGE 130 II 482 E. 3.2 S. 485 f.).</w:t>
      </w:r>
    </w:p>
    <w:p>
      <w:r>
        <w:rPr>
          <w:b/>
        </w:rPr>
        <w:t>E. 6</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gewichtigen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6.1</w:t>
      </w:r>
    </w:p>
    <w:p>
      <w:r>
        <w:t>Der Beschwerdeführer bestreitet vorweg, dass er sich bei der ersten Eheschliessung von zweckfremden Motiven habe leiten lassen. Wohl hat die geschiedene Ehefrau am 2. Juni 2005 anlässlich der Einvernahme durch die Kantonspolizei Zürich ausgeführt, das Bleiberecht des künftigen Gatten habe für sie keine Rolle gespielt, vielmehr sei es ihr darum gegangen, fortan mit ihm zusammenleben zu können. In einer späteren Eingabe fügte sie hinzu, sie hätte niemals Hand zum Eingehen einer Scheinehe geboten. Diese Aussagen ändern allerdings nichts daran, dass der Aufenthalt des Beschwerdeführers nach erstinstanzlicher Ablehnung des Asylgesuchs alles andere als gesichert war (vgl. hierzu auch BGE 121 II 1 E. 2b S. 3). Damit einher ging eine nur kurze Bekanntschaft vor der Eheschliessung von etwa sechs Monaten, wobei die künftige Ehegattin in dieser Zeit noch während eines Monats in Bulgarien weilte (siehe S. 1 des Einvernahmeprotokolls vom 2. Juni 2005). Es ist deshalb davon auszugehen, dass beim Eingehen der Ehe zweckfremde Überlegungen mit eine Rolle gespielt haben (vgl. BGE 128 II 145 E. 3.1 S. 152 f.)</w:t>
      </w:r>
    </w:p>
    <w:p>
      <w:r>
        <w:rPr>
          <w:b/>
        </w:rPr>
        <w:t>E. 6.2</w:t>
      </w:r>
    </w:p>
    <w:p>
      <w:r>
        <w:t>Im dargelegten Kontext von Belang erscheint des Weiteren der auffallend grosse Altersunterschied von mehr als 35 Jahren; die schweizerische Ehefrau war sogar achteinhalb Jahre älter als die Mutter des Beschwerdeführers. Einem solchem Aspekt kommt zusätzliche Bedeutung zu, wenn - wie dies für den Kulturkreis des Beschwerdeführers zutrifft - Ehen in der Regel nur zur Familiengründung geschlossen werden (zur Altersfrage siehe auch die Urteile des Bundesgerichts 5A.16/2006 vom 27. Juli 2006 E. 2.5, 5A.18/2006 vom 28. Juni 2006 E. 3.2, 5A.2/2003 vom 3. April 2003 E. 4.3 oder 5A.18/2002 vom 28. Oktober 2002 E. 3.2.2). So erstaunt denn nicht, dass der Beschwerdeführer nach der Scheidung eine gegenüber der Schweizerin wesentlich jüngere Landsfrau (mit Jahrgang 1978, gegenüber Jahrgang 1936 ihrer Vorgängerin) ehelichte. Unter den konkreten Begebenheiten stellt der Altersunterschied zweifelsohne ein gewichtiges Element für die vorinstanzliche Tatsachenvermutung dar.</w:t>
      </w:r>
    </w:p>
    <w:p>
      <w:r>
        <w:rPr>
          <w:b/>
        </w:rPr>
        <w:t>E. 6.3</w:t>
      </w:r>
    </w:p>
    <w:p>
      <w:r>
        <w:t>Der Beschwerdeführer lässt geltend machen, dass er mit seiner Schweizer Ehefrau neun Jahre (recte: knapp achteinhalb Jahre) lang verheiratet gewesen sei und sie eine glückliche und intakte Ehe geführt hätten. Das beidseits bestätigte gute Einvernehmen während der Ehezeit kann zwar als Indiz gelten, welches gegen das Vorliegen einer Zweckehe und damit das Erschleichen der erleichterten Einbürgerung spricht. Ein solches Indiz schliesst indessen nicht aus, dass die Parteien daneben ebenfalls andere Ziele verfolgten, denen sie ihre angeblich intakte Ehe unterordneten und gegebenenfalls opferten. Die Referenzen von Freundinnen, Freunden und Bekannten wiederum, die von der Vorinstanz im Rahmen des Einbürgerungsverfahrens eingeholt worden waren, schildern die Wahrnehmung durch Drittpersonen über das äussere Erscheinungsbild des Ehepaares (gemeinsame Wohnung bzw. gemeinsames Auftreten in der Öffentlichkeit) und sind somit nicht aussagekräftig für die Beurteilung der hier wesentlichen Frage, aus welchen inneren Beweggründen die angeblich über lange Zeit stabile Ehe aufgelöst wurde.</w:t>
      </w:r>
    </w:p>
    <w:p>
      <w:r>
        <w:rPr>
          <w:b/>
        </w:rPr>
        <w:t>E. 6.4</w:t>
      </w:r>
    </w:p>
    <w:p>
      <w:r>
        <w:t>Beschwerdeweise wird sodann argumentiert, die Trennungs- und Scheidungsabsichten der Schweizer Ehegattin hätten sich erst einige Monate nach ihrer Pensionierung und somit nach der erleichterten Einbürgerung des Beschwerdeführers entwickelt und seien nicht vorhersehbar gewesen. Entscheidrelevant ist in dieser Hinsicht, wie an anderer Stelle erwähnt, ob das von ihr in den Vordergrund gestellte Bedürfnis nach einer persönlichen Neuausrichtung einen objektiv nachvollziehbaren Grund für das Scheitern der Ehe darstellen kann. Die geschiedene Ehefrau selber begründete ihre veränderten Lebenspläne wiederholt damit, dass mit ihrer Pensionierung ein neuer Lebensabschnitt begonnen habe, den sie ganz anders habe gestalten wollen (siehe dazu die Einvernahme vom 2. Juni 2005 oder die Stellungnahmen vom 8. Juni 2005 und 5. August 2003). Solche Ausführungen deuten allerdings gerade darauf hin, dass das Scheitern der Ehe nicht auf ein plötzlich aufgetretenes, für die Ehegatten unerwartetes Ereignis zurückzuführen war. Die Schweizer Ehefrau ging anfangs März 2001 in Pension, also noch vor der Unterzeichnung der gemeinsamen Erklärung und der erleichterten Einbürgerung. Angegeben wird ein Scheidungsgrund, welcher typischerweise den Endpunkt einer längeren Entwicklung darstellt, weshalb den Eheleuten - wie die Vorinstanz zutreffend festhielt - nicht geglaubt werden kann, dass sie sich mit der Lebensgestaltung der Frau nach der Pensionierung erst einige Monate nach der erleichterten Einbürgerung auseinanderzusetzen anfingen. Kommt hinzu, dass die frühere Ehegattin besagten Lebensabschnitt aktiv zu gestalten gedachte, sie damit ganz konkrete Pläne verband (schriftstellerisches Tätigsein, Malen) und laut Einvernahmeprotokoll vom 2. Juni 2005 bereits die Vorstellung hatte, nach dem Übertritt in den Ruhestand "einen völlig neuen Lebensrhythmus zu leben". Auch ihr verstärktes künstlerisches Engagement kam keineswegs aus heiterem Himmel, war sie nebst ihrer Teilzeitarbeit (80%) als Bibliothekarin doch schon länger schriftstellerisch tätig gewesen (vgl. die Lebensläufe in den eingereichten Zeitungsartikeln oder die Eingabe der Parteivertretung vom 21. Dezember 2000). Vor diesem Hintergrund ist schlichtweg unvorstellbar, dass die Gestaltung des neuen Lebensabschnitts erst nach der erleichterten Einbürgerung zu einem zentralen Thema wurde. Ganz abgesehen davon, dass es sonderbar anmutet, wenn die Ehegattin eine jahrelange, angeblich intakte Ehe ohne weiteres zugunsten einer künstlerischen Tätigkeit aufgibt, ohne eine Vereinbarkeit überhaupt ernsthaft geprüft und versucht zu haben. Unter diesen Umständen liegt die Vermutung nahe, dass die Auflösungserscheinungen in der Ehe schon über einen längeren Zeitabschnitt ihren Lauf genommen hatten. Ein ausserordentliches Ereignis, das den raschen Verfall der ehelichen Bande erst nach der erleichterten Einbürgerung zu erklären vermag, kann in der behaupteten Neuorientierung nicht gesehen werden.</w:t>
      </w:r>
    </w:p>
    <w:p>
      <w:r>
        <w:rPr>
          <w:b/>
        </w:rPr>
        <w:t>E. 6.5</w:t>
      </w:r>
    </w:p>
    <w:p>
      <w:r>
        <w:t>Zu keinem anderen Ergebnis führt, dass die Initiative zur Trennung und Scheidung nach Darstellung des Beschwerdeführers einseitig von seiner damaligen Gattin ausgegangen sein soll. Denn die erleichterte Einbürgerung kann nicht als "Belohnung" für eigenes eheliches Wohlverhalten betrachtet werden. Mit dem einheitlichen Bürgerrecht der Ehegatten wollte der Gesetzgeber vielmehr ihre gemeinsame Zukunft fördern (BGE 130 II 482 E. 2 S. 483 f.). Abgesehen davon haben die Ehegatten das Scheidungsbegehren gemeinsam eingereicht und es geht aus den diesbezüglichen Akten nicht hervor, dass der Beschwerdeführer mit diesem Schritt nicht einverstanden gewesen wäre. Vielmehr hat auch er gegenüber dem Scheidungsrichter bestätigt, sich diesen Schritt reiflich überlegt zu haben. Die Parteien haben sich ihr Verhalten in einem Scheidungsverfahren auch in einem nachfolgenden anderen Verfahren anrechnen zu lassen. Sie haben - nach Auffassung des Bundesgerichts - "keinen Anspruch darauf, je nach dem Zweck des Verfahrens im Hinblick auf dessen gewünschtes Ergebnis unterschiedliche Aussagen zu machen" (BGE 128 II 97 ff., dort unveröffentlichte E. 2b/dd). Da für das Scheitern der Ehe wie oben erwähnt Gründe vorgetragen werden, die - objektiv betrachtet - nicht geeignet sind, den Ehewillen abrupt und unwiederbringlich zu zerstören, bleiben die Zweifel an der behaupteten Stabilität der Ehe bestehen.</w:t>
      </w:r>
    </w:p>
    <w:p>
      <w:r>
        <w:rPr>
          <w:b/>
        </w:rPr>
        <w:t>E. 6.6</w:t>
      </w:r>
    </w:p>
    <w:p>
      <w:r>
        <w:t>Anhaltspunkte für eine Zweckentfremdung des Instituts der erleichterten Einbürgerung liefern schliesslich die Zeugung eines ausserehelichen Kindes und die spätere Heirat der Kindsmutter. Fakt ist, dass der Beschwerdeführer im Januar 2000 - während des Einbürgerungsverfahrens - alleine im Kosovo weilte und dort mit einer anderen Frau einen ausserehelichen Intimkontakt hatte. Bei dieser vom Beschwerdeführer als einmaligen Seitensprung geschilderten Begegnung (er will die Kindsmutter vor der folgenreichen Begegnung nicht gekannt und auch danach keinen Kontakt zu ihr gepflegt haben) wurde ein Kind gezeugt, das am 21. Oktober 2000 zur Welt kam. Von dessen Existenz will der Beschwerdeführer erst bei einer zufälligen Begegnung im Sommer 2002 erfahren haben. Selbst wenn davon auszugehen wäre, dass diese Darstellungsweise zutrifft (wofür mit dem Zeitpunkt des Registereintrags über die Vaterschaft noch kein genüglicher Beweis erbracht ist) widerspräche schon das Faktum des Seitensprungs in gewisser Weise der angeblich intakten Ehe (vgl. dazu Urteil des Bundesverwaltungsgerichts C-1142/2006 vom 19. Juni 2008 E. 6.3.5). Die Umstände der Begegnung und das Verhalten der Beteiligten danach - wie vom Beschwerdeführer geschildert - können aber in ihrer Gesamtheit nicht geglaubt werden. Daran vermag der Einwand nichts zu ändern, dass die Kindsmutter sich über die Vaterschaft selbst nicht im Klaren gewesen und von einem Bruder aus dem Ausland wirtschaftlich über Wasser gehalten worden sein will. Die Darstellungsweise entspricht einem realitätsfremden Erklärungsmuster, mit dem das Bundesverwaltungsgericht im Übrigen schon in andern Fällen konfrontiert wurde (vgl. Urteile C-1185/2006 vom 14. Juli 2008, E. 6.4 und C-1108/2007 vom 20. Juni 2008, E. 6.1). In Verbindung mit der Heirat der Kindsmutter stellt die aussereheliche Vaterschaft jedenfalls ein gewichtiges Indiz für die vorinstanzliche Tatsachenvermutung dar; dies gilt umso mehr, als der Beschwerdeführer die Ehe mit der zweiten Ehefrau auffallend rasch, nämlich eineinhalb Monate nach der Scheidung von der Schweizerin, einging.</w:t>
      </w:r>
    </w:p>
    <w:p>
      <w:r>
        <w:rPr>
          <w:b/>
        </w:rPr>
        <w:t>E. 6.7</w:t>
      </w:r>
    </w:p>
    <w:p>
      <w:r>
        <w:t>Zusammenfassend ist festzustellen, dass der Beschwerdeführer mit seinen bisherigen Vorbringen die Vermutung, dass während des Einbürgerungsverfahrens keine stabile eheliche Lebensgemeinschaft bestand, nicht zu entkräften vermochte. Ebenso wenig kann er objektiv nachvollziehbare Gründe dafür nennen, warum seine Ehe, die zum Zeitpunkt der erleichterten Einbürgerung angeblich noch intakt war, bereits sechseinhalb Monate später, bei Einreichung des gemeinsamen Scheidungsbegehrens, gescheitert war. Es ist somit davon auszugehen, dass der Beschwerdeführer die erleichterte Einbürgerung im Sinne von Art. 41 BüG durch falsche Angaben bzw. das Verheimlichen erheblicher Tatsachen erschlichen hat.</w:t>
      </w:r>
    </w:p>
    <w:p>
      <w:r>
        <w:rPr>
          <w:b/>
        </w:rPr>
        <w:t>E. 7</w:t>
      </w:r>
    </w:p>
    <w:p>
      <w:r>
        <w:t>Aus den vorstehenden Erwägungen ergibt sich, dass die angefochtene Verfügung rechtmässig ist (Art. 49 VwVG). Die Beschwerde ist daher abzuweisen.</w:t>
      </w:r>
    </w:p>
    <w:p>
      <w:r>
        <w:rPr>
          <w:b/>
        </w:rPr>
        <w:t>E. 8</w:t>
      </w:r>
    </w:p>
    <w:p>
      <w:r>
        <w:t>Bei diesem Ausgang des Verfahrens hat der unterliegende Beschwerdeführer die Verfahrenskosten zu tragen (Art. 63 Abs. 1 VwVG). Diese sind auf Fr. 800.- festzusetzen (Art. 1, Art. 2 und Art. 3 Bst. b des Reglements vom 21. Februar 2008 über die Kosten und Entschädigungen vor dem Bundesverwaltungsgericht [VGKE, SR 173.320.2]).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