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C-1189/2012 vom 10. Februar 2014</w:t>
      </w:r>
    </w:p>
    <w:p>
      <w:r>
        <w:t>Bundesverwaltungsgericht, 2014-02-10, FR</w:t>
      </w:r>
    </w:p>
    <w:p>
      <w:r>
        <w:rPr>
          <w:b/>
        </w:rPr>
        <w:t xml:space="preserve">Quelle: </w:t>
      </w:r>
      <w:r>
        <w:t>https://mcp.opencaselaw.ch/entscheid/bvger_C-1189_2012</w:t>
      </w:r>
    </w:p>
    <w:p>
      <w:r>
        <w:t>FR: TAF C-1189/2012 du 10 février 2014</w:t>
      </w:r>
    </w:p>
    <w:p>
      <w:r>
        <w:t>IT: TAF C-1189/2012 del 10 febbraio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d'autorisations de séjour en dérogation aux conditions d'admission et de renvoi prononcées par l'ODM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w:t>
      </w:r>
    </w:p>
    <w:p>
      <w:r>
        <w:rPr>
          <w:b/>
        </w:rPr>
        <w:t>E. 1.2</w:t>
      </w:r>
    </w:p>
    <w:p>
      <w:r>
        <w:t>La procédure devant le Tribunal est régie par la PA, à moins que la LTAF n'en dispose autrement (art. 37 LTAF).</w:t>
      </w:r>
    </w:p>
    <w:p>
      <w:r>
        <w:rPr>
          <w:b/>
        </w:rPr>
        <w:t>E. 1.3</w:t>
      </w:r>
    </w:p>
    <w:p>
      <w:r>
        <w:t>A._______ et B._______, agissant pour eux-mêmes et leurs enfants (légalement repré­sen­tés par leurs parents), ont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w:t>
      </w:r>
    </w:p>
    <w:p>
      <w:r>
        <w:rPr>
          <w:b/>
        </w:rPr>
        <w:t>E. 3.1</w:t>
      </w:r>
    </w:p>
    <w:p>
      <w:r>
        <w:t>A teneur de l'art. 30 al. 1 LEtr, il est possible de déroger aux conditions d'admission prévues aux art. 18 à 29 LEtr, notamment dans le but de tenir compte des cas individuels d'une extrême gravité ou d'intérêts publics majeurs (let. b). 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3.2</w:t>
      </w:r>
    </w:p>
    <w:p>
      <w:r>
        <w:t>Les critères de reconnaissance du cas de rigueur, initialement dégagés de la pratique et de la jurisprudence relatives à l'art. 13 let. f de l'ordonnance du 6 octobre 1986 limitant le nombre des étrangers (OLE, RO 1986 1791) et repris à l'art. 31 al. 1 OASA, ne constituent pas un catalogue exhaustif, pas plus qu'ils ne doivent être réalisés cumulativement (ATAF 2009/40 consid. 6.2).</w:t>
      </w:r>
    </w:p>
    <w:p>
      <w:r>
        <w:rPr>
          <w:b/>
        </w:rPr>
        <w:t>E. 3.3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(arrêt du Tribunal fédéral 2C_75/2011 du 6 avril 2011 consid. 1.1.1).</w:t>
      </w:r>
    </w:p>
    <w:p>
      <w:r>
        <w:rPr>
          <w:b/>
        </w:rPr>
        <w:t>E. 3.4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C 636/2010 du 14 décembre 2010 [partiellement publié in: ATAF 2010/55] consid. 5.2 et 5.3, et la jurisprudence et doctrine citées; ATAF 2009/40 précité consid. 6.2; Blaise Vuille/Claudine Schenk, L'article 14 alinéa 2 de la loi sur l'asile et la notion d'intégration, in :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 636/2010 précité consid. 5.3; Vuille/Schenk, op. cit., p. 114s., et la doctrine citée).</w:t>
      </w:r>
    </w:p>
    <w:p>
      <w:r>
        <w:rPr>
          <w:b/>
        </w:rPr>
        <w:t>E. 3.5</w:t>
      </w:r>
    </w:p>
    <w:p>
      <w:r>
        <w:t>Selon la jurisprudence,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ATF 123 II 125 consid. 4a et 4b, par analogie; ATAF 2007/16 consid. 5.3, par analogie; arrêt du Tribunal administratif fédéral C 636/2010 précité consid. 5.4).</w:t>
      </w:r>
    </w:p>
    <w:p>
      <w:r>
        <w:rPr>
          <w:b/>
        </w:rPr>
        <w:t>E. 4</w:t>
      </w:r>
    </w:p>
    <w:p>
      <w:r>
        <w:t>En l'occurrence, les recourants ont invoqué la durée de leur séjour en Suisse, leur intégration socioculturelle, leur comportement respectueux, l'évolution professionnelle de A._______, ainsi que la situation écono­mi­que difficile prévalant dans leur pays d'origine (et rendant leur réintégra­tion ardue) pour prétendre à l'octroi d'autorisations de séjour en leur faveur.</w:t>
      </w:r>
    </w:p>
    <w:p>
      <w:r>
        <w:rPr>
          <w:b/>
        </w:rPr>
        <w:t>E. 4.1</w:t>
      </w:r>
    </w:p>
    <w:p>
      <w:r>
        <w:t>D'emblée, le Tribunal observe que le séjour en Suisse de B._______ (qui affirme être arrivée dans ce pays en novembre 2006) n'est pas particulièrement long et que la continuité du séjour en Suisse de A._______ entre le mois d'août 2001 et la fin de l'année 2004 n'est pas établie à satisfaction. Lors de sa deuxième audition par la police genevoise du 26 septem­bre 2003, l'intéressé s'était en effet légitimé au moyen d'une autorisation provisoire de séjour échue qui lui avait été délivrée en février 2002 par les autorités françaises et avait expliqué qu'il séjournait en France, où il avait requis l'octroi de l'asile au début de l'année 2001. Il avait précisé que, chaque jour, il franchissait illégalement la frontière pour venir travailler en Suisse, ajoutant qu'il s'était rendu au Kosovo trois mois auparavant pour des raisons familiales, avant de revenir en France. Lors de son audition du 13 janvier 2011 dans les locaux de l'OCP, il avait par ailleurs admis être retourné une nouvelle fois au Kosovo en 2004, pour un mois. Dans tous les cas, il sied de rappeler que, selon la jurisprudence, le simple fait pour un étranger de séjourner en Suisse pendant de longues années ne permet pas d'admettre un cas personnel d'extrême gravité (ATAF 2007/16 précité consid. 7). Ceci vaut d'autant plus dans le cas particulier, dès lors que les intéressés ont d'abord vécu en Suisse de manière totalement illégale et que, depuis le dépôt de leur demande de régularisation, ils demeurent sur le territoire helvétique en vertu d'une simple tolérance cantonale ne leur conférant qu'un statut à caractère provisoire et aléatoire (ATAF 2007/45 consid. 6.3). Il y a dès lors lieu d'examiner si des critères d'évaluation autres que la seule durée de séjour en Suisse seraient de nature à faire admettre qu'un départ de ce pays placerait les intéressés dans une situation extrê­me­ment rigoureuse.</w:t>
      </w:r>
    </w:p>
    <w:p>
      <w:r>
        <w:rPr>
          <w:b/>
        </w:rPr>
        <w:t>E. 4.2</w:t>
      </w:r>
    </w:p>
    <w:p>
      <w:r>
        <w:t>Certes, les époux A._______ et B._______ n'ont pas commis d'actes punissables, hormis des infractions aux prescriptions de police des étrangers, ni émargé à l'aide sociale. On ne saurait cependant considérer que A._______ ait adopté une attitude respectueuse envers les autorités helvétiques. En effet, le dossier révèle que, lors de son premier séjour en Suisse, le prénommé avait trompé les autorités d'asile sur son âge, se rajeunissant de trois ans dans le but d'obtenir un traitement plus favorable de sa demande d'asile et obligeant ainsi l'auto­rité tutélaire compétente à lui désigner un curateur (cf. let. A supra). Après le rejet de sa demande d'asile, il s'était en outre soustrait à l'exécution de son renvoi. Alors que les autorités cantonales compétentes lui avaient réservé une place sur un vol en par­tan­ce pour Pristina pour le 21 août 2000, il ne s'était en effet pas présenté à l'aéro­port. Interpellé et écroué au mois de novembre suivant, il avait finale­ment été rapatrié par les autorités cantonales en date du 25 no­vem­bre 2000. A cela s'ajoute que l'intéressé a fait l'objet de deux décisions d'interdiction d'entrée - la première en 2001, la seconde en 2003 - pour des infractions aux prescriptions de police des étrangers. Certes, ces déci­sions n'avaient pas pu lui être valablement notifiées à cette époque, à dé­faut d'adresse con­nue (en Suisse ou en France). Il n'en demeure pas moins qu'à cha­que fois, l'intéressé avait été préalablement entendu au sujet de ces in­fractions et avisé que celles-ci pouvaient donner lieu à une interdiction d'entrée (cf. let. C et D supra). Aussi, même s'il ne faut pas exagérer l'importance des infractions aux prescriptions de police des étrangers inhérentes à la condition de travailleur clandestin (ATF 130 II 39 con­sid. 5.2), on ne saurait considérer que A._______ ait fait preuve d'un comportement irréprochable. En outre, s'il est avéré que les époux A._______ et B._______ ont tissé des liens non négli­gea­bles avec leur milieu, il n'en demeure pas moins que leur inté­gration sociale ne revêt pas un caractère exceptionnel. Aucun élément du dossier ne permet en effet de penser que les intéressés seraient, à l'heure actuelle, particulièrement investis dans la vie asso­cia­tive ou culturelle locale. La participation bénévole de A._______ à une action organisée par l'Association "X._______" en 2002, si elle est certes louable, ne saurait modifier ce point de vue, puisque cette action remonte à plus de dix ans. Dans ce contexte, il convient de relever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précité consid. 4.2, ATAF 2007/16 précité con­sid. 5.2, et la jurisprudence citée).</w:t>
      </w:r>
    </w:p>
    <w:p>
      <w:r>
        <w:rPr>
          <w:b/>
        </w:rPr>
        <w:t>E. 4.3</w:t>
      </w:r>
    </w:p>
    <w:p>
      <w:r>
        <w:t>S'agissant de l'intégration professionnelle de A._______ en Suisse, le Tribunal constate que l'intéressé a travaillé auprès d'un agriculteur de novembre 2001 à mai 2011, d'abord comme ouvrier agricole, puis en qua­lité de manutentionnaire. En juin 2011, il a changé d'employeur et s'occu­pe désormais de la préparation des commandes pour le service clientèle d'un primeur en gros. Il est indéniable que, sur le plan professionnel, le prénommé a fait preuve de stabilité et connu une certaine évolution. A cela s'ajoute qu'il est parvenu à subvenir aux besoins de sa famille, sans recourir à l'aide sociale et sans faire de dettes. Le parcours professionnel de l'intéressé n'a toutefois rien d'exceptionnel, si l'on tient compte de la durée de son séjour en Suisse (et en France), années pendant lesquelles il a eu tout loisir de se familiariser avec la langue française. Force est en effet de constater que, par les emplois qu'il a occupés, le prénommé n'a pas fait preuve d'une évolution profes­sion­nelle remarquable au sens de la jurisprudence et de la doctrine précitées (cf. con­­sid. 3.4 supra), ni acquis des connaissances ou qualifications spé­cifiques qu'il ne pourrait plus mettre en pratique ailleurs qu'en Suisse, notamment dans son pays d'origine. L'intégration profes­sionnelle de l'intéressé, même si elle paraît réussie, ne saurait donc justifier, à elle seule, l'admission d'un cas de rigueur au sens de l'art. 30 al. 1 let. b LEtr. Quant à B._______, qui est arrivée en Suisse en novembre 2006, elle n'a jamais exercé la moindre activité lucrative, ni suivi la moindre for­ma­tion dans ce pays, à l'exception des cours de français pour débutants qui lui ont été dispensés par l'Université populaire albanaise à partir du 21 septembre 2010, soit presque quatre ans après son arrivée en Suisse. Si la naissance de son premier enfant - au mois de juin 2010 - a certes pu avoir une influence sur son choix de rester à la maison, il n'en demeure pas moins qu'auparavant, elle aurait eu tout loisir de se former ou de travailler. On ne saurait dès lors considérer que l'intéressée ait fait preuve d'une volonté d'intégration particulière durant son séjour en Suisse.</w:t>
      </w:r>
    </w:p>
    <w:p>
      <w:r>
        <w:rPr>
          <w:b/>
        </w:rPr>
        <w:t>E. 4.4</w:t>
      </w:r>
    </w:p>
    <w:p>
      <w:r>
        <w:t>Sur un autre plan, le Tribunal n'ignore pas que les perspectives de travail offertes en Suisse sont plus attractives qu'au Kosovo.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(ATAF 2007/44 précité consid. 5.3, ATAF 2007/45 précité consid. 7.6, ATAF 2007/16 précité consid. 10, et la jurisprudence citée), ce qui n'est pas le cas en l'espèce. De plus, on ne saurait perdre de vue que les époux A._______ et B._______ ont vécu la majeure partie de leur existence au Kosovo, notamment leur adolescence et le début de leur vie d'adulte, qui sont les années décisives durant lesquelles se forge la personnalité en fonction notamment du milieu socioculturel (ATAF 2007/45 précité consid. 7.6, et la jurisprudence citée). Dans ces conditions, le Tribunal ne saurait considérer que les attaches que les prénommés ont nouées avec la Suisse aient pu les rendre totale­ment étrangers à leur patrie, au point qu'ils ne seraient plus en mesure, après une période d'adaptation, d'y retrouver leurs repères. Rien ne permet en tous les cas d'affirmer que les difficultés que les intéressés sont susceptibles de rencontrer à leur retour au Kosovo, pays où résident encore de nombreux membres de leur famille, seraient plus graves pour eux que pour n'importe lequel de leurs concitoyens appelés à quitter la Suisse au terme d'un séjour dans ce pays, ou que leur situation serait sans commune mesure avec celle que connaissent leurs compatriotes restés sur place.</w:t>
      </w:r>
    </w:p>
    <w:p>
      <w:r>
        <w:rPr>
          <w:b/>
        </w:rPr>
        <w:t>E. 4.5</w:t>
      </w:r>
    </w:p>
    <w:p>
      <w:r>
        <w:t>Force est dès lors de conclure que l'intégration des époux A._______ et B._______ en Suisse, qui ne revêt pas un caractère exceptionnel, ne satisfait pas aux conditions restrictives requises pour la reconnais­sance d'une situation d'extrême gravité (cf. consid. 3.4 supra).</w:t>
      </w:r>
    </w:p>
    <w:p>
      <w:r>
        <w:rPr>
          <w:b/>
        </w:rPr>
        <w:t>E. 4.6</w:t>
      </w:r>
    </w:p>
    <w:p>
      <w:r>
        <w:t>Quant à la situation des filles des intéressés (nées respectivement en juin 2010 et en octobre 2013), elle ne saurait conduire à une appréciation différente. En effet, il est communément admis que des enfants de cet âge demeurent entièrement dépendants de leurs parents et imprégnés des us et coutumes propres au milieu dans lequel ils sont élevés, de sorte qu'ils sont généralement en mesure de s'adapter sans difficultés particulières à un nouvel environnement (ATF 123 II 125 consid. 4b; ATAF 2007/16 précité consid. 5.3, et la jurisprudence et doctrine citées; arrêt du Tribunal administratif fédéral C 636/2010 précité consid. 5.4 et 6.3, ainsi que l'arrêt du Tribunal fédéral 2C_75/2011 du 6 avril 2011 rendu dans la mê­me affaire, consid. 3.4).</w:t>
      </w:r>
    </w:p>
    <w:p>
      <w:r>
        <w:rPr>
          <w:b/>
        </w:rPr>
        <w:t>E. 4.7</w:t>
      </w:r>
    </w:p>
    <w:p>
      <w:r>
        <w:t>Dans ces conditions, après une appréciation de l'ensemble des cir­cons­tances, le Tribunal, à l'instar de l'autorité de première instance, par­vient à la conclusion que, faute d'intégration particulièrement marquée en Suisse, la situation de cette famille, envisagée dans sa globalité, n'est pas constitutive d'une situation d'extrême gravité au sens de l'art. 30 al. 1 let. b LEtr.</w:t>
      </w:r>
    </w:p>
    <w:p>
      <w:r>
        <w:rPr>
          <w:b/>
        </w:rPr>
        <w:t>E. 5.1</w:t>
      </w:r>
    </w:p>
    <w:p>
      <w:r>
        <w:t>Les recourants et leurs enfants n'obtenant pas d'autorisations de séjour en Suisse, c'est également à bon droit que l'autorité inférieure a prononcé leur renvoi, conformément à l'art. 64 al. 1 let. c LEtr.</w:t>
      </w:r>
    </w:p>
    <w:p>
      <w:r>
        <w:rPr>
          <w:b/>
        </w:rPr>
        <w:t>E. 5.2</w:t>
      </w:r>
    </w:p>
    <w:p>
      <w:r>
        <w:t>Enfin, le dossier ne fait pas apparaître l'existence d'obstacles à l'exécution du renvoi au sens de l'art. 83 al. 1 à 4 LEtr. En effet, le Kosovo ne connaît pas une situation de guerre, de guerre civile ou de violence généralisée qui permettrait d'emblée de présumer, à propos de tous les ressortissants de ce pays, l'existence d'une mise en danger concrète. A cela s'ajoute que A._______ et B._______, qui sont âgés respectivement de presque trente-cinq ans et de vingt-sept ans et en bonne santé, ont des attaches familiales et sociales non négligeables dans leur patrie, où ils ont accompli toute leur scolarité obligatoire, ainsi qu'il ressort des déclarations qu'ils ont faites lors de leur audition du 13 janvier 2011. Leur réintégration dans ce pays ne devrait donc pas les exposer à des difficultés insurmontables, d'autant que leurs enfants sont en âge de s'adapter facilement à un nouvel environnement. Aussi, l'exécution du renvoi de cette famille apparaît-elle raisonnablement exigible au sens de l'art. 83 al. 4 LEtr (ATAF 2011/50 consid. 8.2). Partant, et à plus forte raison, la situation des intéressés ne saurait entrer dans les prévisions des garanties internationales contre le refoulement ou d'autres engagements pris par la Suisse relevant du droit international. L'exécution du renvoi s'avère en conséquence parfaitement licite au sens de l'art. 83 al. 3 LEtr (ATAF 2009/2 consid. 9.1; Jurisprudence et infor­ma­tions de la Commission suisse de recours en matière d'asile [JICRA] 2001 n° 16 consid. 6a, JICRA 1996 n° 18 consid. 14a et 14b, par analogie). En outre, l'exécution du renvoi est possible au sens de l'art. 83 al. 2 LEtr (ATAF 2008/34 consid. 12), les recourants ayant produit des copies de leurs passeports et étant, dans tous les cas, tenus de collaborer à l'obtention de documents de voyage leur permettant de retourner dans leur pays d'origine.</w:t>
      </w:r>
    </w:p>
    <w:p>
      <w:r>
        <w:rPr>
          <w:b/>
        </w:rPr>
        <w:t>E. 5.3</w:t>
      </w:r>
    </w:p>
    <w:p>
      <w:r>
        <w:t>Le prononcé d'une mesure de remplacement se substituant à l'exécution du renvoi (admission provisoire) ne saurait donc se justifier in casu.</w:t>
      </w:r>
    </w:p>
    <w:p>
      <w:r>
        <w:rPr>
          <w:b/>
        </w:rPr>
        <w:t>E. 6</w:t>
      </w:r>
    </w:p>
    <w:p>
      <w:r>
        <w:t>En conséquence, le Tribunal est amené à conclure que la décision querellée est conforme au droit (art. 49 PA). Le recours est en conséquence rejeté. Vu l'issue de la cause, il y a lieu de mettre les frais de procédure à la charge des recourants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