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C-1187/2006 vom 18. Juli 2007</w:t>
      </w:r>
    </w:p>
    <w:p>
      <w:r>
        <w:t>Bundesverwaltungsgericht, 2007-07-18, FR</w:t>
      </w:r>
    </w:p>
    <w:p>
      <w:r>
        <w:rPr>
          <w:b/>
        </w:rPr>
        <w:t xml:space="preserve">Quelle: </w:t>
      </w:r>
      <w:r>
        <w:t>https://mcp.opencaselaw.ch/entscheid/bvger_C-1187_2006</w:t>
      </w:r>
    </w:p>
    <w:p>
      <w:r>
        <w:t>FR: TAF C-1187/2006 du 18 juillet 2007</w:t>
      </w:r>
    </w:p>
    <w:p>
      <w:r>
        <w:t>IT: TAF C-1187/2006 del 18 luglio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Le recourant, qui est directement touché par la décision entreprise, a qualité pour recourir (cf. art 20 al. 1 en relation avec l'art.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121 II 49 consid. 2b; voir également l'arrêt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II 97 consid. 3;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Conseil fédéral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(cf. ATF 130 II 482 consid. 3.2),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6</w:t>
      </w:r>
    </w:p>
    <w:p>
      <w:r>
        <w:t>A titre préliminaire, il sied de relever que les conditions formelles de l'annulation de la naturalisation facilitée prévues à l'art. 41 al. 1 LN sont réalisées. En effet, la naturalisation facilitée accordée le 21 janvier 2003 à A._______ a été annulée par l'autorité intimée, avec l'assentiment des autorités du canton d'origine, en date du 19 avril 2006, soit avant l'échéance du délai péremptoire de cinq ans prévu par la disposition précitée (cf. arrêts du Tribunal fédéral 5A.11/2002 du 23 août 2002 consid. 3 et 5A.3/2002 du 29 avril 2002 consid. 3).</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Arrivé en Suisse en 1987, le recourant a été mis au bénéfice d'une autorisation de séjour pour études, régulièrement renouvelée jusqu'au 30 novembre 1993. Le 28 mai 1993, l'intéressé a épousé B._______, de sorte qu'une autorisation de séjour liée à son statut d'époux d'une ressortissante suisse lui a été délivrée. Il a sollicité l'octroi de la naturalisation facilitée le 28 mars 2002 et l'a obtenue le 21 janvier 2003. En août 2003, le requérant et son épouse se sont séparés et le 9 mars 2004, soit treize mois et demi après l'obtention par A._______ de la nationalité suisse et en l'absence de toutes mesures protectrices de l'union conjugale, ils ont ouvert action par une requête commune tendant au divorce et à la ratification de la convention sur les effets accessoires du divorce, avant que le Tribunal de première instance du canton de Genève ne dissolve leur union par le divorce, selon jugement du 24 juin 2004. Or, il s'impose de relever que le prénommé a rencontré C._______ en été 1996 et qu'une fille, née le 1er décembre 1997, est issue de cette relation extra-conjugale. Depuis la naissance de celle-ci, il s'absentait quelques jours par semaine du domicile conjugal pour, selon ses dires, veiller à son éducation. A ce propos, le TAF constate cependant que dans le cadre d'une enquête pour vérification du ménage commun avant l'octroi d'une autorisation d'établissement, l'OCP a établi un rapport en date du 3 juillet 1998, duquel il ressortait que seul le nom de l'épouse de l'intéressé figurait sur la porte, que le bail était uniquement au nom de celle-ci et que les renseignements recueillis auprès du voisinage démontraient que cette dernière avait toujours été vue seule depuis sa venue dans l'immeuble. En outre, il résulte également du rapport d'enquête rédigé, le 22 juillet 2002, par le Service des naturalisations du canton de Genève, qu'en 1995 le recourant avait été mis en cause comme fournisseur d'héroïne d'une personne décédée d'une overdose, mais qu'il n'avait toutefois pas été entendu du fait qu'il était sans domicile fixe. Au demeurant, la police judiciaire du canton de Genève a interpellé ce dernier le 28 janvier 2003, alors qu'il se trouvait au domicile de C._______, et lors de son audition du même jour, il a notamment déclaré qu'il avait l'intention d'aller aux Etats-Unis avec sa fille et la mère de celle-ci au mois d'avril 2003. Quant à la prénommée, selon le rapport établi également à cette même date par l'autorité précitée, elle a indiqué que l'intéressé vivait à son domicile depuis la naissance de leur fille, alors que dans son écrit du 31 mars 2006, elle a affirmé que celui-ci vivait avec elle et leur fille depuis le prononcé de son divorce en 2004 et qu'auparavant leur relation était limitée à des rapports épisodiques du fait qu'il était marié. Dans ces circonstances, il sied à tout le moins de considérer que, depuis 1996 en tout cas, le recourant a mené une véritable double vie, l'une aux côtés d'B._______, l'autre avec la mère de sa fille, d'autant plus que C._______ a expliqué, dans son courrier précité, qu'elle avait attendu que la situation du requérant se stabilise avant d'envisager l'avenir avec lui et qu'ils projetaient de se marier et d'officialiser sa paternité, ce qui a d'ailleurs été confirmé par l'intéressé, dans son recours du 22 mai 2006. Pareil comportement, a fortiori lorsqu'il s'inscrit dans la durée, est manifestement incompatible avec la notion de vie conjugale voulue par l'art. 27 LN, à savoir, pour rappel, une communauté effective et stable, tournée vers l'avenir, dans laquelle les époux se sont promis fidélité et assistance. A cela s'ajoute que le recourant a également trompé l'ODM, puisqu'à l'appui de sa demande de naturalisation facilitée du 28 mars 2002, il s'est abstenu d'indiquer qu'il était déjà père d'une enfant. Il va sans dire que si celui-ci n'avait pas caché aux autorités sa véritable situation familiale, il n'aurait pas obtenu la naturalisation facilitée. Par ailleurs, il ressort du dossier que le Tribunal de police du canton de Genève l'a condamné, par arrêt du 9 juillet 2003, à la peine de 18 mois d'emprisonnement avec sursis pendant cinq ans pour avoir importé en Suisse entre janvier 2000 et décembre 2002 plus d'un kilo d'héroïne. Il a ainsi doublement trompé les autorité en certifiant également, par déclaration écrite du 18 novembre 2002, avoir été respectueux de l'ordre juridique suisse et n'avoir commis aucun délit pouvant entraîner une poursuite judiciaire ou une condamnation. Il s'impose dès lors de constater que A._______ a manifestement obtenu la naturalisation facilitée sur la base de déclarations mensongères et d'une dissimulation de faits essentiels. Pour ce motif déjà, il convient de confirmer la décision de l'autorité intimée.</w:t>
      </w:r>
    </w:p>
    <w:p>
      <w:r>
        <w:rPr>
          <w:b/>
        </w:rPr>
        <w:t>E. 7.3</w:t>
      </w:r>
    </w:p>
    <w:p>
      <w:r>
        <w:t>En outre, l'examen des faits pertinents de la cause, ainsi que leur déroulement chronologique, amènent le TAF à une conclusion identique. En effet, il est symptomatique de constater que seuls sept mois se sont écoulés entre l'obtention de la nationalité suisse par A._______ (le 21 janvier 2003) et la séparation du couple (au mois d'août 2003 au plus tard). Aussi, même si le TAF s'abstenait de relever que le prénommé a épousé B._______ alors qu'il n'était au bénéfice que d'une autorisation de séjour à caractère strictement temporaire et qu'il savait pertinemment qu'il devait quitter le territoire helvétique à la fin de ses études - qu'il n'a d'ailleurs pas achevées (cf. p.4 du procès-verbal d'audition du 28 janvier 2003) -, force est de retenir que l'enchaînement de ces événements crée la présomption qu'au moment de la signature de la déclaration relative à la communauté conjugale (le 18 novembre 2002), le recourant n'avait plus la volonté, si tant est qu'il ne l'ait jamais eue, de maintenir une communauté conjugale effective et stable.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cet égard, si la rencontre entre son ex-épouse et son nouveau compagnon au mois de mai 2003 a pu précipiter la fin de la vie de couple, comme le soutient le recourant notamment dans son pourvoi du 22 mai 2006, il ne paraît pas excessif de considérer que celui-ci s'est rapidement rangé à l'idée de voir se terminer cette relation, ce qui allait lui permettre d'entreprendre des projets de mariage avec la mère de sa fille. A._______ tente d'expliquer, dans son recours précité et dans ses déterminations du 18 septembre 2006, que sa relation extra-conjugale n'a pas nui à sa vie de couple et que son ex-épouse a décidé de mettre un terme à leur union seulement après avoir connu son nouveau compagnon au mois de mai 2003, alors que lui-même était incarcéré. Or, son ex-épouse a déclaré, dans son écrit du 27 août 2004, qu'elle avait appris la naissance hors mariage de la fille du prénommé en 1998, "car il s'absentait souvent" du domicile conjugal (2 à 3 jours par semaine), et que, pour cette raison, il y avait eu "des hauts et des bas" dans leur couple, tout en affirmant que dans l'ensemble ils s'entendaient bien, que l'incarcération de celui-ci en 2003 avait brisé leur union, qu'elle avait rencontré son actuel compagnon au mois de mai 2003 et qu'elle avait ainsi décidé de mettre un terme à leur mariage en 2004. Quant à C._______, dans son courrier du 31 mars 2006, elle a expliqué que l'ex-épouse de l'intéressé avait très mal pris la nouvelle de la naissance de leur fille, qu'il avait dès lors continué à s'occuper de cette dernière avec beaucoup de discrétion et qu'il n'avait pu, vu l'opposition de son ex-épouse, procéder à une reconnaissance formelle de sa paternité. En tout état de cause, même si les affirmations du recourant étaient avérées, son comportement est de nature à démontrer qu'il n'entendait pas former avec B._______ une communauté conjugale au sens de l'art. 27 LN (cf. arrêts du Tribunal fédéral 5A.25/2005 du 18 octobre 2005 consid. 3.3. et 5A.27/2004 du 27 janvier 2005 consid. 5.2). Au surplus, le TAF relève que, par contrat du 28 mai 1993, l'intéressé et son ex-épouse ont adopté le régime matrimonial de la séparation de biens et que dans le cadre de la requête commune de divorce, A._______ a renoncé à toute prétention en partage de la prévoyance professionnelle accumulée pendant la durée de l'union conjugale au motif "qu'il lui paraissait injuste que son épouse doive encore lui céder une partie de son avoir de prévoyance professionnelle alors que celle-ci l'avait déjà aidé financièrement pendant le mariage" (cf. p.4 du jugement de divorce du 24 juin 2004 rendu par le Tribunal de première instance du canton de Genève). Le fait que le prénommé ait renoncé à toute prestation concernant la prévoyance professionnelle, alors qu'il se trouvait pourtant au chômage, tend encore à démontrer qu'en l'occurrence, à l'époque de la déclaration commune du 18 novembre 2002, le mariage n'avait plus d'autre but que d'obtenir la naturalisation facilitée en faveur du recourant et que, dès lors, cette union ne possédait, à ce moment-là, ni la stabilité ni la projection dans le temps nécessaires à la lumière de l'art. 27 LN. Au vu du déroulement chronologique des faits et des nombreux autres éléments exposés ci-dessus, le TAF est amené, à défaut de contre-preuves pertinentes apportées par l'intéressé, à conclure que la communauté conjugale que ce dernier formait avec B._______ n'était plus étroite et effective au moment de la signature de la déclaration commune. Cette conviction est d'ailleurs confirmée par l'activité "d'escort girl" que son ex-épouse a exercée de mai 2002 à juillet 2003, soit avant et après l'obtention de la naturalisation facilitée par le requérant. Peu importe que ce dernier ait ignoré ce fait ou non.</w:t>
      </w:r>
    </w:p>
    <w:p>
      <w:r>
        <w:rPr>
          <w:b/>
        </w:rPr>
        <w:t>E. 7.4</w:t>
      </w:r>
    </w:p>
    <w:p>
      <w:r>
        <w:t>Partant, l'Office fédéral était parfaitement fondé à prononcer, avec l'assentiment du canton d'origine, l'annulation de la naturalisation facilitée conférée à l'intéressé en date du 21 janvier 2003.</w:t>
      </w:r>
    </w:p>
    <w:p>
      <w:r>
        <w:rPr>
          <w:b/>
        </w:rPr>
        <w:t>E. 7.5</w:t>
      </w:r>
    </w:p>
    <w:p>
      <w:r>
        <w:t>Il importe par surcroît de souligner que le fait que le recourant ait désormais son centre de vie en Suisse, où il réside depuis plusieurs années, est sans pertinence pour déterminer s'il y a eu obtention frauduleuse de la naturalisation au sens de l'art. 41 LN. Le fait que son mariage a duré dix ans n'est pas non plus de nature à modifier cette appréciation. A cet égard, il convient en outre de rappeler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cf. arrêt du Tribunal fédéral 5A.6/2003 du 24 juillet 2003 consid. 3.2).</w:t>
      </w:r>
    </w:p>
    <w:p>
      <w:r>
        <w:rPr>
          <w:b/>
        </w:rPr>
        <w:t>E. 8</w:t>
      </w:r>
    </w:p>
    <w:p>
      <w:r>
        <w:t>S'agissant de la requête du recourant tendant à son audition personnelle et à celle d'autres témoins, il importe de rappeler ici que la procédure en matière de recours administratif est en principe écrite (cf. JAAC 56.5; Fritz Gygi, Bundesverwaltungsrechtspflege, Berne 1983,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ressortent clairement du dossier et ne nécessitent donc aucun complément d'instruction. Par voie de conséquence, dans la mesure où les faits de la cause sont établis à satisfaction de droit, l'autorité de céans juge inutile d'ordonner la comparution des personnes mentionnées par le recourant, d'autant plus que celles-ci ont toutes eu la faculté de présenter des dépositions écrites.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9</w:t>
      </w:r>
    </w:p>
    <w:p>
      <w:r>
        <w:t>Il ressort de ce qui précède que, par sa décision du 19 avril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