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C-1181/2006 vom 19. August 2008</w:t>
      </w:r>
    </w:p>
    <w:p>
      <w:r>
        <w:t>Bundesverwaltungsgericht, 2008-08-19, FR</w:t>
      </w:r>
    </w:p>
    <w:p>
      <w:r>
        <w:rPr>
          <w:b/>
        </w:rPr>
        <w:t xml:space="preserve">Quelle: </w:t>
      </w:r>
      <w:r>
        <w:t>https://mcp.opencaselaw.ch/entscheid/bvger_C-1181_2006</w:t>
      </w:r>
    </w:p>
    <w:p>
      <w:r>
        <w:t>FR: TAF C-1181/2006 du 19 août 2008</w:t>
      </w:r>
    </w:p>
    <w:p>
      <w:r>
        <w:t>IT: TAF C-1181/2006 del 19 agosto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2</w:t>
      </w:r>
    </w:p>
    <w:p>
      <w:r>
        <w:t>Dans la mesure où il est directement touché par la décision entreprise, A._______ a qualité pour recourir (cf. art. 48 PA). Son recours, présenté dans la forme et les délais prescrits par la loi, est recevable (cf. art. 50 et art. 52 PA).</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169 consid. 2.3.1, 128 II 97 consid. 3a, 121 II 49 consid. 2b).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précité; voir également l'arrêt du Tribunal fédéral 5A.11/2003 du 31 juillet 2003 consid. 3.3.1). Une demande en divorce déposée peu après l'obtention de la naturalisation facilitée est un indice d'absence de cette volonté lors de l'octroi de la nationalité suisse (ATF 128 précité, 121 précité).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précité consid. 3.1, 128 précité; voir aussi arrêt du Tribunal fédéral du 31 août 1998, reproduit in Revue de l'état civil [REC] 67/1999 p. 6).</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l'arrêt du Tribunal fédéral 1C_379/2007 du 7 décembre 2007, consid. 5).</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les arrêts du Tribunal fédéral 1C_379/2007 précité, consid. 4 et 1C_294/2007 du 30 novembre 2007 consid. 3.4).</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(cf. ATF 130 II 482 consid. 3.2).</w:t>
      </w:r>
    </w:p>
    <w:p>
      <w:r>
        <w:rPr>
          <w:b/>
        </w:rPr>
        <w:t>E. 5.2.2</w:t>
      </w:r>
    </w:p>
    <w:p>
      <w:r>
        <w:t>S'agissant d'une présomption de fait, qui ressortit à l'appréciation des preuves et ne modifie pas le fardeau de la preuve (cf. ATF 130 II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6</w:t>
      </w:r>
    </w:p>
    <w:p>
      <w:r>
        <w:t>A titre préliminaire, le Tribunal constate que les conditions formelles de l'annulation de la naturalisation facilitée prévues par l'art. 41 al. 1 LN sont réalisées dans le cas particulier. En effet, la naturalisation facilitée accordée le 21 août 2001 à A._______ a été annulée par l'autorité intimée en date du 10 février 2006, soit avant l'échéance du délai péremptoire de cinq ans prévu par la disposition précitée, avec l'assentiment des autorités compétentes du canton de Zurich. Peu importe que la décision d'annulation de la naturalisation facilitée ne soit pas formellement entrée en force, respectivement que l'autorité de recours n'ait pas définitivement statué (cf. sur cette question les arrêts du Tribunal fédéral 1C_231/2007 du 14 novembre 2007, consid. 4 et 5A.11/2002 du 23 août 2002, consid. 3). Le grief soulevé à ce sujet par le recourant dans ses observations complémentaires du 23 juin 2008 n'est donc pas pertinent.</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7.2</w:t>
      </w:r>
    </w:p>
    <w:p>
      <w:r>
        <w:t>Ainsi, il est à relever que le mariage du recourant avec C._______ a été contracté le 19 avril 1996, alors qu'au terme d'une procédure d'asile, il était sous le coup d'une décision de renvoi de Suisse exécutoire, ce qui lui permettait de se soustraire à cette mesure d'éloignement de Suisse. Après avoir obtenu une autorisation de séjour dans le canton de Zurich liée à son statut d'époux d'une ressortissante suisse, A._______ a formé, le 19 juillet 1999, une demande de naturalisation facilitée. Le 13 juin 2001, le prénommé et son épouse ont signé la déclaration relative à la stabilité de leur mariage. Le 21 août 2001, le recourant s'est vu octroyer la naturalisation facilitée. Or, le 1er novembre 2001, soit à peine environ deux mois seulement après l'octroi de la naturalisation facilitée, le prénommé a quitté le domicile conjugal sis à E._______ pour aller s'installer à F._______. A partir de ce moment, les époux ont toujours vécu séparément. Le 24 janvier 2002, l'épouse de l'intéressé a introduit une requête de mesures protectrices de l'union conjugale assortie d'une convention qui a été entérinée par décision du Tribunal civil du district de D._______ du 21 juin 2002, au terme de laquelle la vie séparée était officialisée. Le Tribunal estime que ces éléments et leur enchaînement chronologique particulièrement rapide sont de nature à fonder la présomption que A._______ avait choisi d'épouser une ressortissante suisse dans le but prépondérant de s'installer dans ce pays et d'en obtenir ultérieurement la nationalité. Le laps de temps entre la déclaration commune (13 juin 2001), l'octroi de la naturalisation facilitée (21 août 2001) et le départ du recourant du domicile conjugal (1er novembre 2001) confirme que celui-ci n'envisageait déjà plus une vie future partagée lors de la signature de ladite déclaration. Dans ces circonstances, il y a lieu d'admettre que la stabilité requise du mariage n'existait déjà plus au moment de la signature de la déclaration de vie commune, et cela quand bien même les époux ne vivaient pas encore séparés au moment de la naturalisation. Il s'impose à ce sujet de souligner que, tout en affirmant que la déclaration correspondait, pour ce qui la concerne, encore à la vérité, C._______ a précisé que la situation avait soudainement changé toute suite après l'obtention par son mari de la nationalité helvétique (cf. audition de l'intéressée du 14 juillet 2004, point 46). L'expérience générale de la vie enseigne en outre qu'un ménage uni depuis plusieurs années ne se brise pas en une période aussi brève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w:t>
      </w:r>
    </w:p>
    <w:p>
      <w:r>
        <w:rPr>
          <w:b/>
        </w:rPr>
        <w:t>E. 7.3</w:t>
      </w:r>
    </w:p>
    <w:p>
      <w:r>
        <w:t>Cette conviction est renforcée par plusieurs autres éléments.</w:t>
      </w:r>
    </w:p>
    <w:p>
      <w:r>
        <w:rPr>
          <w:b/>
        </w:rPr>
        <w:t>E. 7.3.1</w:t>
      </w:r>
    </w:p>
    <w:p>
      <w:r>
        <w:t>Ainsi, le Tribunal observe d'abord que le recourant et C._______ se sont mariés le 19 avril 1996, alors que le premier faisait l'objet d'une décision de refus d'asile et de renvoi de Suisse en force et que sa situation en ce pays sur le plan du séjour paraissait pour le moins précaire.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(dans ce sens arrêt du Tribunal fédéral 5A.11/2006 du 27 juin 2006, consid. 3.1), ce qui est précisément le cas en l'espèce.</w:t>
      </w:r>
    </w:p>
    <w:p>
      <w:r>
        <w:rPr>
          <w:b/>
        </w:rPr>
        <w:t>E. 7.3.2</w:t>
      </w:r>
    </w:p>
    <w:p>
      <w:r>
        <w:t>Le Tribunal constate ensuite, si l'on apprécie les faits de la présente cause à la lumière des us et coutumes prévalant au Kosovo, que l'épouse de l'intéressé ne présentait pas le profil typique généralement attendu en pareilles circonstances. Le recourant s'est en effet marié le 19 février 1996 avec une femme de vingt-huit ans son aînée et, de surcroît, divorcée et mère d'un enfant né d'un précédent mariage, situation qui est tout à fait inhabituelle dans le milieu socioculturel dont l'intéressé est issu (cf. notamment arrêt du Tribunal fédéral 5A.11/2006 précité, consid. 3.1).</w:t>
      </w:r>
    </w:p>
    <w:p>
      <w:r>
        <w:rPr>
          <w:b/>
        </w:rPr>
        <w:t>E. 7.3.3</w:t>
      </w:r>
    </w:p>
    <w:p>
      <w:r>
        <w:t>Dans ce contexte, A._______ n'a pas rendu vraisemblable la survenance d'un événement extraordinaire susceptible d'expliquer une détérioration rapide du lien conjugal, au sens indiqué plus haut (cf. consid. 5.2.2). En effet, le recourant s'est limité à soutenir dans son pourvoi qu'il était parti en Suisse romande parce qu'il y avait trouvé un travail à 100%, alors qu'il ne travaillait jusque là qu'à 50%, et qu'il avait proposé à son épouse de le suivre, ce qu'elle avait refusé, car elle ne parlait pas le français. Dans son préavis du 5 mai 2006, l'ODM a rappelé à ce sujet qu'une communauté conjugale subsiste même lorsque les époux ont cessé d'avoir un domicile unique, pour autant que la création de domiciles séparés repose sur des motifs plausibles et que la stabilité du mariage ne soit manifestement pas en cause (cfr. ATF 121 II 49). Indépendamment de la plausibilité des motifs professionnels dont se prévaut le recourant pour fonder son changement de domicile, il y a lieu d'observer que son comportement envers son épouse a diamétralement changé après l'obtention de la naturalisation, preuve en soit en particulier le fait qu'il a abandonné le domicile conjugal du jour au lendemain: « Eines Tages kam er zu mir und sagte, dass er jetzt gehe. Seine Begründung war, dass er immer habe machen müssen was ich wollte, und er wollte ein neues Leben anfangen » (cf. audition de C._______ du 14 juillet 2004 points 14 et 28) et que l'épouse, laquelle avait atteint l'âge de la retraite, n'a pas suivi son mari, n'a plus eu de contact avec ce dernier (cf. audition du 14 juillet 2004 point 40) et s'est refusée à toute éventualité d'une reprise de la vie commune (cfr. audition du 14 juillet 2004, point 42).</w:t>
      </w:r>
    </w:p>
    <w:p>
      <w:r>
        <w:rPr>
          <w:b/>
        </w:rPr>
        <w:t>E. 8</w:t>
      </w:r>
    </w:p>
    <w:p>
      <w:r>
        <w:t>Le recourant se limite à déclarer que l'union était sincère au départ et que ce n'était pas un « mariage de papiers ». Un tel élément n'est de toute manière pas de nature à constituer une preuve contraire au sens rappelé ci-dessus (cf. ch. 5.2.2). En conclusion, à défaut de contre-preuves apportées par le recourant, le Tribunal est d'avis qu'il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parfaitement fondé à considérer que la naturalisation facilitée conférée au prénommé le 21 août 2001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Il ressort de ce qui précède que, par sa décision du 10 février 2006, l'Office fédéral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