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C-117/2015 vom 23. Juni 2016</w:t>
      </w:r>
    </w:p>
    <w:p>
      <w:r>
        <w:t>Bundesverwaltungsgericht, 2016-06-23, DE</w:t>
      </w:r>
    </w:p>
    <w:p>
      <w:r>
        <w:rPr>
          <w:b/>
        </w:rPr>
        <w:t xml:space="preserve">Quelle: </w:t>
      </w:r>
      <w:r>
        <w:t>https://mcp.opencaselaw.ch/entscheid/bvger_C-117_2015</w:t>
      </w:r>
    </w:p>
    <w:p>
      <w:r>
        <w:t>FR: TAF C-117/2015 du 23 juin 2016</w:t>
      </w:r>
    </w:p>
    <w:p>
      <w:r>
        <w:t>IT: TAF C-117/2015 del 23 giugno 2016</w:t>
      </w:r>
    </w:p>
    <w:p>
      <w:pPr>
        <w:pStyle w:val="Heading2"/>
      </w:pPr>
      <w:r>
        <w:t>Regeste</w:t>
      </w:r>
    </w:p>
    <w:p>
      <w:r>
        <w:t>Eingliederungsmassnahmen</w:t>
      </w:r>
    </w:p>
    <w:p>
      <w:pPr>
        <w:pStyle w:val="Heading2"/>
      </w:pPr>
      <w:r>
        <w:t>Erwägungen</w:t>
      </w:r>
    </w:p>
    <w:p>
      <w:r>
        <w:rPr>
          <w:b/>
        </w:rPr>
        <w:t>E. 3</w:t>
      </w:r>
    </w:p>
    <w:p>
      <w:r>
        <w:t>Vorab ist zu prüfen, ob die IVSTA angesichts der bei der IV-Stelle TG eingereichten Anmeldung zum Leistungsbezug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Die Beschwerdegegnerin war Grenzgängerin und hatte ihre letzte Arbeitsstelle im Kanton Thurgau; sie wohnt zudem noch im benachbarten Grenzgebiet. Sie hat sich somit zu Recht bei der IV-Stelle TG zum Leistungsbezug angemeldet. Der Erlass der Verfügung durch die IVSTA ist gemäss obenstehenden Ausführungen nicht zu beanstanden. 4.1 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Dabei ist die gesamte noch zu erwartende Arbeitsdauer zu berücksichtigen (Abs. 1bis). Die Eingliederungsmassnahmen bestehen gemäss Art. 8 Abs. 3 IVG in medizinischen Massnahmen (lit. a), Integrationsmassnahmen zur Vorbereitung auf die berufliche Eingliederung (lit. abis), Massnahmen beruflicher Art (Berufsberatung, erstmalige berufliche Ausbildung, Umschulung, Arbeitsvermittlung, Kapitalhilfe) und der Abgabe von Hilfsmitteln (lit. d). 4.2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gelten in Bezug auf den Anspruch von Eingliederungsmassnahmen als versichert. Dies gilt auch während der Durchführung dieser Massnahmen, sofern sie keine anderweitige Erwerbstätigkeit ausserhalb der Schweiz aufnehmen. Der Nachversicherungsschutz endet hingegen beim Bezug einer Invalidenrente (ganze Rente oder Bruchteilsrente), bei abgeschlossener erstmaliger Eingliederung oder beim Bezug einer Leistung der Arbeitslosenversicherung des Wohnlandes. Somit hat beispielsweise ein Grenzgänger Anspruch auf Eingliederungsmassnahmen, wenn er seine Arbeit in der Schweiz wegen Krankheit oder Unfall aufgeben musste. Nicht erforderlich ist dabei, dass der Grenzgänger bis zum Leistungsanspruch weiterhin Beiträge in der Schweiz entrichtet (vgl. Kreisschreiben über das Verfahren zur Leistungsfestsetzung in der AHV/IV [KSBIL], in der ab 1. Juni 2002 geltenden Fassung, Rz. 1011.2 und 1011.3). 4.3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erleidet (BGE 124 V 108 E. 2b; AHI 2000 S. 62 E. 1). Gemäss Art. 17 Abs. 1 IVG besteht Anspruch auf Umschulung auf eine neue Erwerbstätigkeit, wenn die Umschulung infolge Invalidität not­wendig ist und dadurch die Erwerbsfähigkeit voraussichtlich erhalten oder verbessert werden kann. Unter Umschulung ist nach der Rechtsprechung grundsätzlich die Summe der Eingliederungsmassnahmen berufsbilden­der Art zu verstehen, die notwendig und geeignet sind, den vor Eintritt der Invalidität bereits erwerbstätig gewesenen Versicherten eine ihrer früheren annähernd gleichwertige Erwerbsmöglichkeit zu vermitteln (BGE 124 V 108 E. 2a; AHI 2000 S. 61 f. E. 1). 4.4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4.5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4.5.1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4.5.2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137 V 210 E. 1.3.4).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4.6 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5</w:t>
      </w:r>
    </w:p>
    <w:p>
      <w:r>
        <w:t>Vorliegend ist streitig und vom Bundesverwaltungsgericht zu prüfen, ob die Beschwerdeführerin einen Anspruch auf Eingliederungsmassnahmen hat. Unbestritten ist, dass die Beschwerdeführerin in der Schweiz als Grenzgängerin gearbeitet und dabei Beiträge an die AHV/IV geleistet hat. Sie hat ihre Arbeit in der Schweiz aus gesundheitlichen Gründen aufgegeben und seither weder in der Schweiz noch in Deutschland Arbeitslosentaggelder oder eine Invalidenrente bezogen, weshalb die Beschwerdeführerin grundsätzlich anspruchsberechtigt wäre, sofern auch die weiteren Voraussetzungen (vgl. dazu insbesondere E. 4.1 und 4.3 hiervor) erfüllt sind.</w:t>
      </w:r>
    </w:p>
    <w:p>
      <w:r>
        <w:rPr>
          <w:b/>
        </w:rPr>
        <w:t>E. 5.1</w:t>
      </w:r>
    </w:p>
    <w:p>
      <w:r>
        <w:t>Die Beschwerdeführerin machte geltend, sie sei aufgrund der persistierenden Schmerzen nach dem Unfall bis zum 12. Mai 2013 zu 100% arbeitsunfähig gewesen. Seit dem 13. Mai 2013 betrage die Arbeitsunfähigkeit 80%. Seit Mitte April 2014 arbeite sie in einer Reinigungsfirma mit einem Pensum von 20% (täglich zwei Stunden), was sie bereits an ihre Belastungsgrenze bringe. Es sei ärztlich festgestellt, dass sie an einem CRPS Typ 1 leide und deshalb in ihrer Arbeitsfähigkeit massiv eingeschränkt sei. Arbeiten, bei welchen sie den ganzen Tag gehen oder stehen müsse, namentlich auch die frühere Tätigkeit als Servicemitarbeiterin, kämen nicht mehr in Frage. Es seien ihr deshalb Eingliederungsmassnahmen zuzusprechen.</w:t>
      </w:r>
    </w:p>
    <w:p>
      <w:r>
        <w:rPr>
          <w:b/>
        </w:rPr>
        <w:t>E. 5.2</w:t>
      </w:r>
    </w:p>
    <w:p>
      <w:r>
        <w:t>Die Vorinstanz führte aus, der Regionale Ärztliche Dienst (RAD) komme bei der Gesamtwürdigung der Akten zum Schluss, dass auf das von der Unfallversicherung eingeholte Gutachten des A._______ abzustellen sei. Diesem sei zu entnehmen, dass zwar vom 29. November 2012 bis zum 28. Februar 2013 eine volle Arbeitsunfähigkeit in jeglichen Tätigkeiten vorlag, dass jedoch seit 1. März 2013 die angestammte Tätigkeit zu 80% und eine angepasste Tätigkeit zu 100% zumutbar sei. Ein Minderverdienst von 20% sei daher nicht ausgewiesen, weshalb die Erwerbsfähigkeit durch Eingliederungsmassnahmen nicht weiter verbessert werden könne. 5.3.1 Dem ambulanten Bericht von Dr. med. D._______, Facharzt für Orthopädie am Kantonsspital B._______, vom 22. August 2013 (IV-act. 13 S. 14 f.) sind folgende Diagnosen zu entnehmen: Schmerzsyndrom des Fusses, ausgeprägter als Knie rechts, bei Status nach Anfahrtrauma (11/2012) mit dorso-lateralem Anprall des proximalen Unterschenkels rechts, HWS-Distorsion, 2-Etagen tiefe Venenthrombose (TVT) ab V. poplitea und Ausschluss einer Lungenembolie bei Dyspnoe. Die Arbeitsfähigkeit bezifferte der Arzt mit 20%. 5.3.2 Dem Kurzbericht von Dr. med. E._______, Facharzt für Anästhesie und Intensivmedizin sowie Chronische und Interventionelle Schmerztherapie am Kantonsspital B._______, vom 23. Oktober 2013 (IV-act. 13 S. 12 f.) ist die Diagnose CRPS Typ 1 m/b zu entnehmen. 5.3.3 Die Gutachter Dr. med. F._______, Facharzt für Orthopädie, Dr. med. G._______, Facharzt für Psychiatrie und Psychotherapie, und Dr. med. H._______, Facharzt für Innere Medizin, diagnostizierten in ihrem polydisziplinären Gutachten des A._______ vom 5. Juni 2014 (IV-act. 33 S. 11 ff.) eine Schmerzpersistenz bei Kontusion des rechten Unterschenkels (11/2012), Senkfüsse, leichte Facettengelenksarthrosen L3-5 und diskrete Bandscheibenprotrusionen ohne neurale Kompression, leichte Anpassungsstörungen mit längerer depressiver Reaktion (ICD-10 F43.21), eine Gastroösophageale Refluxkrankheit und einen Status nach 2-Etagen-Thrombose am rechten Bein (12/2012) ohne Anhaltspunkte für das Vorliegen eines postthrombotischen Syndroms. Die Arbeitsunfähigkeit bezifferten sie mit 100% für alle Tätigkeiten während drei Monaten nach dem Unfall (d.h. 12/2012-02/2013). Ab März 2013 bestand aus somatischer Sicht gemäss ihrer Einschätzung keine Einschränkung der Arbeitsfähigkeit mehr. Hingegen attestierten sie der Beschwerdeführerin aus psychiatrischer Sicht weiterhin eine geringe Einschränkung der geistigen Leistungsfähigkeit und psychischen Belastbarkeit, weshalb sie für die bisherige Tätigkeit von einer Arbeitsfähigkeit von 80% ausgingen. Für eine adaptierte Tätigkeit (ohne emotionale Belastung, Zeitdruck und ohne überdurchschnittliche Dauerbelastung) bescheinigten sie eine Arbeitsfähigkeit von 100% ab März 2013. 5.3.4 Dr. med. I._______ hielt im Bericht des Kantonsspitals B._______, Medizinische Klinik, Psychosomatik, vom 10. Juni 2014 (IV-act. 30) als Diagnosen ein CRPS Typ 1 bei Status nach Anfahrtrauma und eine Anpassungsstörung mit depressiver Reaktion (ICD-10 F43.2) seit 10/2013 fest. Er ging davon aus, dass aufgrund des diagnostizierten CRPS eine Arbeitsunfähigkeit von 80% vorliege. Er wies ferner darauf hin, dass die Beschwerdeführerin seit 04/2014 zu 20% (zwei Stunden/Tag) in einer Reinigungsfirma arbeite. 5.3.5 Dr. med. J._______, Fachärztin für Neurologie am Kantonsspital B._______, untersuchte die Beschwerdeführerin am 6. November 2014 und hielt in ihrem Bericht vom 11. November 2014 fest, dass ein Status nach Anfahrtstrauma durch einen PKW (11/2012), ein Status nach Dorso-lateralem Anprall proximaler Unterschenkel rechts sowie ein Status nach 2-Etagen-TVT ab V. poplitea (12/2012) vorliege. Sie untersuchte die Beschwerdeführerin zudem explizit in Bezug auf das Vorliegen eines CRPS Typ 1 mittels klinisch-neurologischer und elektrophysiologischer Untersuchung. In Bezug auf die einzelnen Merkmale eines CRPS hielt sie fest, dass keine Überempfindlichkeit auf Berührung oder Schmerzreize, keine Allodynie und keine Hyperalgesie auf spitze Reize, keine Asymmetrie der Hauttemperatur oder Hautfarbe, kein asymmetrisches Schwitzen oder Ödeme, keine Veränderung des Haar- oder Nagelwachstums und keine Knie-Dystonie vorlägen. Deshalb kam sie zusammenfassend zum Schluss, dass kein CRPS vorliege. 5.3.6 Dr. med. C._______, Facharzt für Allgemeine Innere Medizin, attestierte der Beschwerdeführerin in seinem Kurzbericht vom 4. März 2015 einen Status nach Unfall sowie ein CRPS Typ 1 (früher Sudeck). Er hielt fest, dass ihr aufgrund der Beschwerden lediglich eine Arbeitstätigkeit im Rahmen von zwei Stunden pro Tag zuzumuten sei. 5.3.7 Zusammenfassend ist festzuhalten, dass aus psychiatrischer Sicht (vgl. das polydisziplinäre Gutachten sowie den Bericht von Dr. med. I._______) eine Anpassungsstörung mit depressiver Reaktion diagnostiziert wurde, die zu einer geringen Einschränkung der Arbeitsfähigkeit führt. Diese ist darin zu sehen, dass die Beschwerdeführerin lediglich noch für Arbeiten ohne emotionale Belastung, Zeitdruck und ohne überdurchschnittliche Dauerbelastung in Frage kommt. Werden diese Einschränkungen des Leistungsprofils berücksichtigt, so ist von einer vollen Arbeitsfähigkeit auszugehen. Kontrovers wird dagegen das Vorliegen eines CRPS Typ 1 beurteilt: Während die Gutachter des A._______ davon ausgingen, es liege kein CRPS vor, attestierten Dr. med. D._______, Dr. med. E._______ und Dr. med. I._______ das Vorliegen eines solchen Beschwerdebilds. Dr. med. F._______ des A._______ beantwortete mit seinem Schreiben vom 2. Oktober 2014 eine diesbezügliche Nachfrage des Unfallversicherers wie folgt: Im Gutachten habe man festgehalten, dass keine livide Verfärbung des Unterschenkels, kein vermehrter Hirsutismus, keine Abkühlung der Haut oder vermehrte Feuchtigkeit derselben und keine Dystrophie bestehe. Daher könne das Vorliegen eines CRPS ausgeschlossen werden. Entgegen der Behauptung der Beschwerdeführerin genügten lediglich Schmerzen an Armen und Beinen als typische Symptome eines CRPS nicht. Wie Dr. med. F._______ festhielt, werden unter der Bezeichnung "komplexe regionale Schmerzsyndrome" Krankheitsbilder zusammengefasst, die die Extremitäten betreffen, sich nach einem schädigenden Ereignis entwickeln und durch anhaltenden Schmerz mit Störungen des vegetativen Nervensystems, der Sensibilität und der Motorik gekennzeichnet sind. Klinisch äussern sich diese Krankheitsbilder durch schwer lokalisierbare brennende Schmerzen (z.B. Allodynie, Hyperalgesie) zusammen mit autonomen (Ödeme, Temperatur- und Schweisssekretionsstörung, evtl. trophische Störung der Haut, Nagelveränderungen, lokal vermehrtes Haarwachstum), sensiblen und motorischen Störungen (vgl. Pschyrembel, Klinisches Wörterbuch 2013, 264. überarbeitete Auflage, Berlin/Boston). Aus medizinischer Sicht ist dabei unbestritten, dass gleichzeitig mehrere dieser Symptome vorliegen müssen, damit ein CRPS diagnostiziert werden kann (vgl. dazu die übersichtliche Tabelle 1: http://www.schmerz-nottwil.ch/files/pdf4/13_CRPS_5.11.pdf, zuletzt eingesehen am 15. April 2016). Dass diese kumulativen Voraussetzungen bei der Beschwerdeführerin nicht gegeben sind, stellten die Gutachter im polydisziplinären Gutachten fest. Dies wurde schliesslich auch von Dr. med. J._______ so bestätigt. Dr. med. D._______ stellte in seinem Bericht vom 22. August 2013 zwar fest, dass zwar das Integument klinisch nicht einem CRPS entspreche, er jedoch aufgrund des Verlaufs sowie die Dysästhesie und der Hyperalgesie davon ausgehe, dass dennoch ein CRPS vorliege. Ein CRPS zu diagnostizieren ist unbestritten schwierig, da keine (genaue, zuverlässige) Methode existiert, um die Erkrankung eindeutig festzustellen. Die Wissenschaft hat indes - wie ausgeführt - Kriterien entwickelt, die bei der Diagnosestellung zu prüfen sind, damit die Erkrankung möglichst zuverlässig festgestellt respektive ausgeschlossen werden kann. Es ist daher zwingend auf die vorgegebenen Prüfkriterien abzustellen. Insgesamt überzeugt die Würdigung der Gutachter des A._______, da diese ihre Einschätzung nach den anerkannten internationalen Kriterien für die Diagnosestellung eines CRPS abgegeben haben. Die übrigen Ärzte haben zwar ein paar der erforderlichen Kriterien genannt, was aber - in Übereinstimmung mit den Ausführungen von Dr. med. F._______ - aber gerade nicht ausreicht, um die Diagnose mit überwiegender Wahrscheinlichkeit zu stellen. Ferner ist darauf hinzuweisen, dass Dr. med. F._______, Facharzt für Orthopädie, sowie auch Dr. med. J._______, Fachärztin für Neurologie, aufgrund ihrer Fachqualifikation kompetent sind, eine Diagnose wie ein CRPS zu stellen respektive auszuschliessen, zumal es sich dabei um eine Erkrankung aus dem neurologisch-orthopädisch-traumatologischen Bereich handelt. Die abweichenden Einschätzungen der übrigen Ärzte, die nicht aus den genannten Fachgebieten stammen, sind somit nicht geeignet, die Einschätzungen von Dr. med. F._______ und Dr. med. J._______ ernsthaft in Zweifel zu ziehen, zumal sie keine Gründe nennen, weshalb die Diagnose zutreffen sollte, obwohl nur wenige der notwendigen Kriterien erfüllt sind. Zusammenfassend ist daher festzuhalten, dass aus obgenannten Gründen vollumfänglich auf das polydisziplinäre Gutachten des A._______ abzustellen ist. Die Beschwerdeführerin ist demnach seit März 2013 in der bisherigen Tätigkeit zu 80% und in einer adaptierten Tätigkeit zu 100% arbeitsfähig. Der Vollständigkeit halber ist noch darauf hinzuweisen, dass diese Einschätzung vom Resultat her den Abklärungen des Unfallversicherers entspricht und somit eine Übereinstimmung der Ergebnisse der Invaliden- und Unfallversicherung besteht. In begründeten Einzelfällen dürfen die beiden Versicherungszweige zwar zu unterschiedlichen Ergebnissen kommen, die Rechtsprechung des Eidgenössischen Versicherungsgerichts zur Koordination der Invaliditätsbemessung in der Invaliden- und in der Unfallversicherung verfolgt aber das Ziel, unterschiedliche Festlegungen des Invaliditätsgrades durch verschiedene Sozialversicherungsträger zu vermeiden, was der Rechtssicherheit dient und damit sowohl im Interesse der Versicherer als auch der betroffenen Bürger liegt. Um dies zu erreichen, muss das Abweichen von bereits rechtskräftigen Invaliditätsbemessungen anderer Versicherer die Ausnahme bleiben. Die Voraussetzungen dazu sind daher einer strengen Prüfung zu unterziehen und dürfen nur mit der gebotenen Zurückhaltung bejaht werden (vgl. BGE 131 V 120 E. 3.3.3). Vorliegend drängt es sich auf, auf die Abklärungen des Unfallversicherers abzustellen, da keine Gründe ersichtlich sind, die eine divergierende Beurteilung erlauben würden.</w:t>
      </w:r>
    </w:p>
    <w:p>
      <w:r>
        <w:rPr>
          <w:b/>
        </w:rPr>
        <w:t>E. 6</w:t>
      </w:r>
    </w:p>
    <w:p>
      <w:r>
        <w:t>Die Vorinstanz ist in antizipierter Beweiswürdigung davon ausgegangen, dass die Beschwerdeführerin aufgrund der vollen Arbeitsfähigkeit in einer adaptierten Tätigkeit keine Erwerbseinbusse von mindestens 20% erleide, weshalb ein Anspruch auf Eingliederungsmassnahmen zu verneinen sei. Diese Schlussfolgerung der Vorinstanz ist nicht zu beanstanden, zumal das Valideneinkommen der Beschwerdeführerin von Fr. 17.55 brutto pro Stunde in der Gastronomie nicht besonders hoch war, weshalb davon auszugehen ist, dass die Beschwerdeführerin in einer angepassten Tätigkeit dieses Einkommen ohne weiteres erzielen könnte. Es drängt sich keine weitere Prüfung auf. Zusammenfassend ist festzuhalten, dass die Vorinstanz den Anspruch auf Eingliederungsmassnahmen zu Recht verneint hat. Die angefochtene Verfügung ist somit zu bestätigen und die Beschwerde abzuweisen.</w:t>
      </w:r>
    </w:p>
    <w:p>
      <w:r>
        <w:rPr>
          <w:b/>
        </w:rPr>
        <w:t>E. 7</w:t>
      </w:r>
    </w:p>
    <w:p>
      <w:r>
        <w:t>Zu befinden bleibt noch über die Verfahrenskosten und eine allfällige Parteientschädigung. Einleitend ist festzuhalten, dass sich gestützt auf die eingereichten Unterlagen zur finanziellen Situation der Beschwerdeführerin feststellen lässt, dass bei ihr Bedürftigkeit vorliegt. Da im vorliegenden Verfahren auch die Notwendigkeit der Vertretung und das Fehlen von Aussichtslosigkeit, mithin die übrigen Voraussetzungen für die Gewährung der unentgeltlichen Rechtspflege gegeben sind, ist das Gesuch um Gewährung der unentgeltlichen Prozessführung und Verbeiständung durch Rechtsanwältin Virginia Demuro gutzuheissen.</w:t>
      </w:r>
    </w:p>
    <w:p>
      <w:r>
        <w:rPr>
          <w:b/>
        </w:rPr>
        <w:t>E. 7.1</w:t>
      </w:r>
    </w:p>
    <w:p>
      <w:r>
        <w:t>Die Verfahrenskosten werden in der Regel der unterliegenden Partei auferlegt (Art. 63 Abs. 1 VwVG). Zufolge Bewilligung der unentgeltlichen Rechtspflege sind der unterliegenden Beschwerdeführerin keine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anwaltlich vertreten, weshalb der Vertreterin der Beschwerdeführerin zufolge Bewilligung der unentgeltlichen Rechtspflege aus der Gerichtskasse eine Entschädigung zuzusprechen ist. Die Vertreterin hat keine Kostennote eingereicht, weshalb die Entschädigung aufgrund der Akten festzusetzen ist (vgl. Art. 14 Abs. 2 VGKE). Unter Berücksichtigung des aktenkundigen und gebotenen Aufwands ist der Vertreterin der Beschwerdeführerin ein Honorar von Fr. 2'800. (inkl. Auslagen und MWST) zuzusprechen. Es bleibt noch auf Art. 65 Abs. 4 VwVG hinzuweisen, wonach die begünstigte Partei der Gerichtskasse für Honorar und Kosten des Anwalts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