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C-1179/2006 vom 6. Juli 2007</w:t>
      </w:r>
    </w:p>
    <w:p>
      <w:r>
        <w:t>Bundesverwaltungsgericht, 2007-07-06, DE</w:t>
      </w:r>
    </w:p>
    <w:p>
      <w:r>
        <w:rPr>
          <w:b/>
        </w:rPr>
        <w:t xml:space="preserve">Quelle: </w:t>
      </w:r>
      <w:r>
        <w:t>https://mcp.opencaselaw.ch/entscheid/bvger_C-1179_2006</w:t>
      </w:r>
    </w:p>
    <w:p>
      <w:r>
        <w:t>FR: TAF C-1179/2006 du 6 juillet 2007</w:t>
      </w:r>
    </w:p>
    <w:p>
      <w:r>
        <w:t>IT: TAF C-1179/2006 del 6 luglio 2007</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gemäss Art. 51 Abs. 1 BüG Verfügungen des BFM, die sich auf Art. 41 Abs. 1 BüG stützen.</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und wendet das neue Verfahrensrecht an (Art. 53 Abs. 2 VGG). Gemäss Art. 37 VGG richtet sich das Verfahren vor dem Bundesverwaltungsgericht nach dem VwVG, sofern das Gesetz nichts anderes bestimmt.</w:t>
      </w:r>
    </w:p>
    <w:p>
      <w:r>
        <w:rPr>
          <w:b/>
        </w:rPr>
        <w:t>E. 1.3</w:t>
      </w:r>
    </w:p>
    <w:p>
      <w:r>
        <w:t>Als Verfügungsadressat ist der Beschwerdeführer durch die angefochtene Verfügung besonders berührt und hat ein schutzwürdiges Interesse an deren Aufhebung (vgl. Art. 48 VwVG). Auf die frist- und formgerecht beim EJPD eingereichte Beschwerde ist daher einzutreten (vgl. Art. 50 und 52 VwVG).</w:t>
      </w:r>
    </w:p>
    <w:p>
      <w:r>
        <w:rPr>
          <w:b/>
        </w:rPr>
        <w:t>E. 2.1</w:t>
      </w:r>
    </w:p>
    <w:p>
      <w:r>
        <w:t>Gemäss Art. 27 Abs. 1 BüG kann eine ausländische Person nach der Eheschliessung mit einem Schweizer Bürger ein Gesuch um erleichterte Einbürgerung stellen, wenn sie insgesamt fünf Jahre in der Schweiz gelebt hat, seit einem Jahr hier wohnt und seit drei Jahren in ehelicher Gemeinschaft mit dem Schweizer Bürger lebt. Ihre Einbürgerung setzt gemäss Art. 26 Abs. 1 BüG zudem voraus, dass sie die schweizerische Rechtsordnung beachtet und die innere oder äussere Sicherheit der Schweiz nicht gefährdet. Die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(BGE 129 II 401 E. 2.2 S. 403 mit Hinweis).</w:t>
      </w:r>
    </w:p>
    <w:p>
      <w:r>
        <w:rPr>
          <w:b/>
        </w:rPr>
        <w:t>E. 2.2</w:t>
      </w:r>
    </w:p>
    <w:p>
      <w:r>
        <w:t>Der Begriff der ehelichen Gemeinschaft bedeutet nach der bundesgerichtlichen Rechtsprechung mehr als nur das formelle Bestehen einer Ehe. Verlangt wird vielmehr eine tatsächliche Lebensgemeinschaft. Eine solche Gemeinschaft kann nur bejaht werden, wenn der beidseitige Wille zu einer stabilen ehelichen Gemeinschaft intakt ist. Der Gesetzgeber wollte ausländischen Ehepartnern von schweizerischen Staatsangehörigen die erleichterte Einbürgerung ermöglichen, um die Einheit des Bürgerrechts der Ehegatten im Hinblick auf eine gemeinsame Zukunft zu fördern. Zweifel am Willen der Ehegatten, die eheliche Gemeinschaft aufrecht zu erhalten, sind beispielsweise angebracht, wenn kurze Zeit nach der Einbürgerung das Scheidungsverfahren eingeleitet wird (BGE 130 II 482 E. 2 S. 484 mit Hinweisen). Im Weiteren ist zu beachten, dass der Gesetzgeber bei der Schaffung der Möglichkeit der erleichterten Einbürgerung für ausländische Ehegatten von Schweizer Bürgern von einem traditionellen Verständnis der Ehe ausging, bei welchem die Ehe aus Liebe eingegangen und die Begründung einer Lebensgemeinschaft, wenn nicht gar die Gründung einer Familie bezweckt wird. Gemäss Art. 159 Abs. 3 des Schweizerischen Zivilgesetzbuches vom 10. Dezember 1907 (ZGB, SR 210) schulden die Ehegatten einander Treue und Beistand. Trotz gewandelter Moral- und Sexualvorstellungen umfasst die eheliche Treue grundsätzlich immer noch die ungeteilte Geschlechtsgemeinschaft (Verwaltungspraxis der Bundesbehörden [VPB] 67.104 E. 16).</w:t>
      </w:r>
    </w:p>
    <w:p>
      <w:r>
        <w:rPr>
          <w:b/>
        </w:rPr>
        <w:t>E. 2.3</w:t>
      </w:r>
    </w:p>
    <w:p>
      <w:r>
        <w:t>Die Einbürgerung kann mit Zustimmung des Heimatkantons innert fünf Jahren für nichtig erklärt werden, wenn sie durch falsche Angaben oder Verheimlichung erheblicher Tatsachen erschlichen worden ist (Art. 41 Abs. 1 BüG). Das blosse Fehlen der Einbürgerungsvoraussetzungen genügt nicht. Die Nichtigerklärung der erleichterten Einbürgerung setzt vielmehr voraus, dass diese "erschlichen", d.h. mit einem unlauteren und täuschenden Verhalten erwirkt worden ist. Arglist im Sinne des strafrechtlichen Betrugstatbestandes ist nicht erforderlich. Immerhin ist notwendig, dass der Betroffene bewusst falsche Angaben macht bzw. die Behörde bewusst in falschem Glauben lässt und so den Vorwurf auf sich zieht, es unterlassen zu haben, die Behörde über eine erhebliche Tatsache zu informieren (vgl. BGE 132 II 113 E. 3.1 S. 114 f., 130 II 482 E. 2 S. 484, je mit Hinweisen).</w:t>
      </w:r>
    </w:p>
    <w:p>
      <w:r>
        <w:rPr>
          <w:b/>
        </w:rPr>
        <w:t>E. 2.4</w:t>
      </w:r>
    </w:p>
    <w:p>
      <w:r>
        <w:t>Weiss die Partei, dass die Voraussetzungen für die erleichterte Einbürgerung im Zeitpunkt der Verfügung erfüllt sein müssen, und erklärt sie, in einer stabilen Ehe zu leben, so hat sie die Behörde gestützt auf ihre Mitwirkungs- bzw. Auskunftspflicht von Art. 13 Abs. 1 Bst. a VwVG unaufgefordert über eine nachträgliche Änderung der Verhältnisse zu orientieren, von der sie weiss oder wissen muss, dass sie einer erleichterten Einbürgerung entgegensteht (BGE 132 II 113 E. 3.2 S. 115 f.).</w:t>
      </w:r>
    </w:p>
    <w:p>
      <w:r>
        <w:rPr>
          <w:b/>
        </w:rPr>
        <w:t>E. 2.5</w:t>
      </w:r>
    </w:p>
    <w:p>
      <w:r>
        <w:t>Besteht auf Grund des Ereignisablaufs die tatsächliche Vermutung, die Einbürgerung sei erschlichen worden, obliegt es dem Betroffenen, die Vermutung durch den Gegenbeweis bzw. erhebliche Zweifel umzustürzen, indem er Gründe bzw. Sachumstände aufzeigt, die es als überzeugend (nachvollziehbar) erscheinen lassen, dass eine angeblich noch wenige Monate zuvor bestehende tatsächliche ungetrennte eheliche Gemeinschaft in der Zwischenzeit dergestalt in die Brüche gegangen ist, dass es zur Scheidung kam (BGE 130 II 482 E. 3.2 S. 486).</w:t>
      </w:r>
    </w:p>
    <w:p>
      <w:r>
        <w:rPr>
          <w:b/>
        </w:rPr>
        <w:t>E. 3</w:t>
      </w:r>
    </w:p>
    <w:p>
      <w:r>
        <w:t>Der Beschwerdeführer macht auf Rekursebene im Wesentlichen geltend, er sei im Zeitpunkt der Einreichung des Einbürgerungsgesuchs rechtlich betrachtet der Vater nur eines Kindes gewesen. Die zweite Tochter sei erst nach der Heirat mit deren Mutter als sein Kind anerkannt worden. Aus diesem Grund habe er gegenüber dem Scheidungsrichter zu Recht ausgesagt, er habe ein Kind und beziehe für dieses eine Kinderzulage. Erst im August/September 2003 habe er die jüngere Tochter seinem Arbeitgeber gemeldet und erhalte seither eine zweite Kinderzulage. Es sei somit nicht richtig, wenn die Vorinstanz davon ausgehe, er habe seine zweite aussereheliche Tochter verheimlichen wollen. Im Jahre 2000 hätten die Ehegatten sodann in einer intakten Beziehung gelebt, welche aber durch die Geburt des ausserehelichen Kindes in einer Krise gesteckt habe. Beide seien sich jedoch damals einig gewesen, dass die Ehe weitergeführt werden solle. Nach Aussage der Ex-Ehefrau vom 14. Mai 2005 habe diese es einfach nicht wahrhaben wollen, dass auch ihre zweite Ehe geschieden werden solle. Erst nach drei Jahren sei die Scheidung erfolgt, da die Tatsache des ausserehelichen Kindes für die Schweizer Gattin eine grössere Belastung dargestellt habe als ursprünglich angenommen. Es habe sich nicht um eine Scheinehe gehandelt. Die Ehegatten hätten während mehr als sieben Jahren zusammengelebt. Der Beschwerdeführer habe sowohl im Zeitpunkt der Unterzeichnung der Erklärung als auch in demjenigen der erleichterten Einbürgerung mit seiner damaligen schweizerischen Ehefrau in einer tatsächlichen, stabilen Lebensgemeinschaft gewohnt. Die Scheidung sei erst ein Jahr später erfolgt, auf Veranlassung der Ehefrau und in gegenseitigem Einvernehmen.</w:t>
      </w:r>
    </w:p>
    <w:p>
      <w:r>
        <w:rPr>
          <w:b/>
        </w:rPr>
        <w:t>E. 4</w:t>
      </w:r>
    </w:p>
    <w:p>
      <w:r>
        <w:t>Dem hält das BFM in seiner Vernehmlassung im Wesentlichen entgegen, im Gesuchsformular sei ganz allgemein nach unverheirateten ausländischen Kindern unter 18 Jahren gefragt worden und es hätte dem Beschwerdeführer klar sein müssen, dass ein während seiner Ehe mit der Schweizer Bürgerin im Ausland gezeugtes aussereheliches Kind, zumal er mit der Kindsmutter bereits ein gemeinsames Kind gezeugt habe, für das Einbürgerungsverfahren von Bedeutung sein würde. Der Beschwerdeführer habe denn auch zu keinem Zeitpunkt geltend gemacht, dass er jemals an seiner biologischen Vaterschaft Zweifel gehabt habe. Die Tatsache, dass die Ehe mit der schweizerischen Ehefrau durch die Geburt des Kindes offensichtlich in eine Krise geraten sei, hätte umso mehr Anlass dazu geben sollen, dies der Einbürgerungsbehörde zur Kenntnis zu bringen.</w:t>
      </w:r>
    </w:p>
    <w:p>
      <w:r>
        <w:rPr>
          <w:b/>
        </w:rPr>
        <w:t>E. 5</w:t>
      </w:r>
    </w:p>
    <w:p>
      <w:r>
        <w:t>Das Bundesverwaltungsgericht kommt nach Prüfung der Akten zum Ergebnis, dass in casu verschiedene gewichtige Indizien bestehen, welche darauf schliessen lassen, dass der Beschwerdeführer mit der Schweizer Bürgerin keine stabile eheliche Gemeinschaft im Sinne der bundesgerichtlichen Praxis führte und diesen Umstand gegenüber den Einbürgerungsbehörden bewusst verheimlichte.</w:t>
      </w:r>
    </w:p>
    <w:p>
      <w:r>
        <w:rPr>
          <w:b/>
        </w:rPr>
        <w:t>E. 5.1</w:t>
      </w:r>
    </w:p>
    <w:p>
      <w:r>
        <w:t>So erfolgte die Heirat des Beschwerdeführers mit der Schweizer Bürgerin zwei Monate nach der letztinstanzlichen Ablehnung des zweiten Asylgesuchs und stand damit in einem sehr engen zeitlichen Zusammenhang zu seiner Verpflichtung, die Schweiz verlassen zu müssen. Wie die Vorinstanz in der angefochtenen Verfügung zudem feststellte, weichen die Angaben des Beschwerdeführers und seiner Ex-Ehefrau betreffend das Kennen lernen (im Jahr 1995 bzw. im Mai 1996) und den Entschluss zur Heirat ("nach langer Überlegung" bzw. "spontan zugesagt") erheblich voneinander ab, wobei nicht ersichtlich ist, weshalb die Ex-Ehefrau, welche dem Beschwerdeführer nach wie vor wohlgesinnt zu sein scheint, diesbezüglich gegenüber der Polizei hätte falsche Angaben machen sollen. Zweifel an der angeblichen Liebesheirat mit der Schweizer Bürgerin ergeben sich auch aus dem Umstand, dass zwischen den Eheleuten ein Altersunterschied von beinahe 27 Jahren besteht. Diese Tatsache ist umso erstaunlicher, als die Mutter der beiden Kinder und heutige türkische Ehefrau des Beschwerdeführers - wie für Personen aus seinem Kulturkreis nicht untypisch - rund fünf Jahre jünger ist als er. Aus dem Sachverhalt ist sodann ersichtlich, dass der Beschwerdeführer vor und während der Ehe mit der Schweizer Bürgerin mit seiner heutigen türkischen Ehefrau zwei Kinder gezeugt und mit dieser gemäss eigenen Angaben von 1992 bis Mitte des Jahres 1994 im Konkubinat gelebt hat. Zudem hat er es im Einbürgerungsverfahren unterlassen, die Behörden über die Geburt des zweiten ausserehelichen Kindes zu informieren. Im Weiteren geht aus dem Informationsbericht der Kantonspolizei Aargau vom 28. Dezember 2000 sowie den Ausführungen des Beschwerdeführers hervor, dass die Tochter A._______ und die Kindsmutter während der Ehe mit der Schweizer Bürgerin in der Türkei bei den Eltern des Beschwerdeführers gelebt haben. Auffallend ist ferner, dass er nur zwei Monate nach der Scheidung von der Schweizer Bürgerin seine heutige Ehefrau heiratete und weitere drei Monate später ein Gesuch um Familiennachzug stellte. Demgegenüber blieb die Ehe mit der Schweizer Bürgerin kinderlos.</w:t>
      </w:r>
    </w:p>
    <w:p>
      <w:r>
        <w:rPr>
          <w:b/>
        </w:rPr>
        <w:t>E. 5.2</w:t>
      </w:r>
    </w:p>
    <w:p>
      <w:r>
        <w:t>Auf Grund einer Gesamtwürdigung dieser einzelnen Sachverhaltselemente besteht die tatsächliche Vermutung, dass der Beschwerdeführer durch das Eingehen mit einer Schweizer Bürgerin nicht beabsichtigte, eine dem schweizerischen Rechtsverständnis entsprechende, auf Dauer und Ausschliesslichkeit ausgerichtete Lebensgemeinschaft zu begründen. Vielmehr lassen die objektiven Umstände vermuten, dass er seinen familiären Schwerpunkt stets bei seiner türkischen Partnerin und den gemeinsamen Kindern hatte und die Ehe mit der Schweizer Bürgerin im Wesentlichen zur Verfolgung seiner persönlichen (ausländerrechtlichen) Ziele eingegangen ist und dies im Einbürgerungsverfahren wissentlich verschwiegen hat.</w:t>
      </w:r>
    </w:p>
    <w:p>
      <w:r>
        <w:rPr>
          <w:b/>
        </w:rPr>
        <w:t>E. 6.1</w:t>
      </w:r>
    </w:p>
    <w:p>
      <w:r>
        <w:t>Soweit der Beschwerdeführer vorbringt, das zweite aussereheliche Kind nicht angegeben zu haben, weil er vor dem Jahr 2003 noch nicht dessen Vater im rechtlichen Sinne gewesen sei und erst ab diesem Zeitpunkt eine zweite Kinderzulage bezogen habe, vermag seine Argumentation nicht zu überzeugen. Vorliegend ist vielmehr davon auszugehen, dass er um die Bedeutung der Geburt des zweiten ausserehelichen Kindes für das damals hängige Einbürgerungsverfahren wusste und diesen Umstand bewusst verschwieg, zumal eine Scheidung offenbar bereits im Jahr 2000 zur Diskussion gestanden hatte, nachdem die Schweizer Bürgerin von der Geburt des zweiten Kindes erfahren hatte. Die Schlussfolgerung, dass der Beschwerdeführer um die Bedeutung des Kindesverhältnisses für das Einbürgerungsverfahren wissen musste, rechtfertigt sich umso mehr, als der Beschwerdeführer am 25. Januar 2002 zusammen mit seiner damaligen Ehegattin eine gemeinsame Erklärung unterschrieben hatte, wonach sie in einer tatsächlichen, ungetrennten, stabilen ehelichen Gemeinschaft leben würden.</w:t>
      </w:r>
    </w:p>
    <w:p>
      <w:r>
        <w:rPr>
          <w:b/>
        </w:rPr>
        <w:t>E. 6.2</w:t>
      </w:r>
    </w:p>
    <w:p>
      <w:r>
        <w:t>Aus den Akten ist im Weiteren ersichtlich, dass die Ehe mit der Schweizer Bürgerin immerhin sieben Jahre dauerte, die Eheleute gewisse gemeinsame Aktivitäten wie gemeinsame Spaziergänge oder Besuche im Schwimmbad entfalteten und sich der Beschwerdeführer offenbar um den zerebral-gelähmten Sohn der Schweizer Ex-Ehefrau bemühte. Gleichzeitig bestanden indessen bereits im Zeitpunkt des Einbürgerungsverfahrens konkrete Zweifel am Bestehen einer tatsächliche Lebensgemeinschaft im Sinne der bundesgerichtlichen Praxis. Diese führten zwar nicht zur Verweigerung der erleichterten Einbürgerung, veranlassten die zuständige Behörde aber immerhin zur Vornahme zusätzlicher Abklärungen. Zu diesen Zweifeln gaben nicht zuletzt die überaus knapp und oberflächlich gehaltenen Schreiben der vom Beschwerdeführer als Referenzen angegebenen Personen Anlass. Zwei der vier Referenzpersonen räumten ein, noch nie mit dem Beschwerdeführer Kontakt gehabt bzw. diesen erst einmal anlässlich eines Geburtstages der Schweizer Ex-Ehefrau gesehen zu haben. Die Fragezeichen hinsichtlich des Bestehens einer auf eine gemeinsame Zukunft gerichteten ehelichen Gemeinschaft werden durch die Aussagen der Ex-Ehefrau anlässlich der polizeilichen Anhörung vom 12. und 14. Mai 2005 bestärkt. Auch wenn die Schweizer Bürgerin von einer harmonischen ehelichen Beziehung spricht, so ist aus ihren Schilderungen doch zu schliessen, dass sie im sozialen Leben des Beschwerdeführers nur eine untergeordnete Rolle spielte. In diesem Zusammenhang ist insbesondere zu erwähnen, dass die Eheleute offenbar nie gemeinsame Ferien machten, der Beschwerdeführer sich während seiner Ferien jeweils in der Türkei aufhielt und die schweizerische Ex-Ehefrau die Eltern ihres Partners nie persönlich kennen lernte, sondern lediglich einen in Spreitenbach lebenden Onkel und einen Cousin der an einem Ort im Kanton Bern lebe, dessen Namen ihr entfallen sei.</w:t>
      </w:r>
    </w:p>
    <w:p>
      <w:r>
        <w:rPr>
          <w:b/>
        </w:rPr>
        <w:t>E. 6.3</w:t>
      </w:r>
    </w:p>
    <w:p>
      <w:r>
        <w:t>Nach dem Gesagten gelingt es dem Beschwerdeführer nicht, die tatsächliche Vermutung des Bestehens einer "Bürgerrechtsehe" umzustossen. Somit ist davon auszugehen, dass er die erleichterte Einbürgerung durch falsche Angaben und Verheimlichung erheblicher Tatsachen erschlichen hat im Sinne von Art. 41 BüG. Dieser Tatbestand wäre in casu im Übrigen bereits durch das Verheimlichen der Geburt des zweiten ausserehelichen Kindes gegenüber den Einbürgerungsbehörden als erfüllt zu betrachten gewesen.</w:t>
      </w:r>
    </w:p>
    <w:p>
      <w:r>
        <w:rPr>
          <w:b/>
        </w:rPr>
        <w:t>E. 7</w:t>
      </w:r>
    </w:p>
    <w:p>
      <w:r>
        <w:t>Die angefochtene Verfügung erweist sich demnach als rechtmässig (Art. 49 VwVG). Die Beschwerde ist daher abzuweisen.</w:t>
      </w:r>
    </w:p>
    <w:p>
      <w:r>
        <w:rPr>
          <w:b/>
        </w:rPr>
        <w:t>E. 8</w:t>
      </w:r>
    </w:p>
    <w:p>
      <w:r>
        <w:t>Bei diesem Ausgang des Verfahrens sind dem Beschwerdeführer die Kosten aufzuerlegen (Art. 63 Abs. 1 VwVG). Diese sind auf Fr. 800.- festzusetzen (vgl. Art. 2 f. des Reglements vom 11. Dezember 2006 über die Kosten und Entschädigungen vor dem Bundesverwaltungsgericht [VGKE, SR 173.320.2]) und mit dem am 6. März 2006 geleisteten Kostenvorschuss in gleicher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