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C-116/2009 vom 19. Januar 2010</w:t>
      </w:r>
    </w:p>
    <w:p>
      <w:r>
        <w:t>Bundesverwaltungsgericht, 2010-01-19, IT</w:t>
      </w:r>
    </w:p>
    <w:p>
      <w:r>
        <w:rPr>
          <w:b/>
        </w:rPr>
        <w:t xml:space="preserve">Quelle: </w:t>
      </w:r>
      <w:r>
        <w:t>https://mcp.opencaselaw.ch/entscheid/bvger_C-116_2009</w:t>
      </w:r>
    </w:p>
    <w:p>
      <w:r>
        <w:t>FR: TAF C-116/2009 du 19 janvier 2010</w:t>
      </w:r>
    </w:p>
    <w:p>
      <w:r>
        <w:t>IT: TAF C-116/2009 del 19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La ricorrente ha presentato la richiesta di rendita il 3 maggio 2007.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3 maggio 2006 (ossia 12 mesi precedenti la presentazione della domanda), oppure se un diritto alla rendita sia sorto tra tale data ed il 1° dicembre 2008,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Per quanto risulta dagli atti, l'interessata, oltre alla sua occupazione nell'ambito della sua economia domestica, già dal 1998, lavorava come inserviente per una ditta di pulizie per 5 ore settimanali e ciò fino al maggio 2004 (doc. 19). Da agosto 2005 ha ripreso un'attività a tempo parziale per circa un'ora al giorno (doc. 9).</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Va precisato che secondo l'art. 28 cpv. 2ter (nel tenore vigente fino al 31 dicembre 2007; ora 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2bis (art. 28a cpv. 2 nel tenore dal 1° gennaio 2008). In tal caso, occorre determinare la parte dell'attività lucrativa o della collaborazione gratuita nell'azienda del coniuge e quella dello svolgimento delle mansioni consuete e poi determinare il grado d'invalidità in funzione della disabilità patita nei due ambiti (metodo misto).</w:t>
      </w:r>
    </w:p>
    <w:p>
      <w:r>
        <w:rPr>
          <w:b/>
        </w:rPr>
        <w:t>E. 8.4</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di specie, la ricorrente soffre di esiti di una cifoplastica di T 12 su rachide osteoporotico (ottobre 2004), disturbo depressivo, steatosi epatica, malattia peptica in trattamento, diabete II controllato. Il Dott. Inguscio, autore della certificazione medica esibita con il ricorso, insiste sul danno artrosico sofferto dalla paziente configurabile in una cervicoartrosi con ernie discali da C5 a C7, spondiloartrosi dorsolombare, osteoporosi e gonartrosi.</w:t>
      </w:r>
    </w:p>
    <w:p>
      <w:r>
        <w:rPr>
          <w:b/>
        </w:rPr>
        <w:t>E. 9.2</w:t>
      </w:r>
    </w:p>
    <w:p>
      <w:r>
        <w:t>Giova ricordare che le affezioni in oggetto debbono, dal profilo giuridico, essere esaminate alla luce dell'art. 29 cpv. 1 lett. b LAI (nel tenore vigente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può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medico dell'INPS pone un tasso d'invalidità del 60%, pur annotando che l'interessata sarebbe in grado di svolgere il suo precedente lavoro in modo parziale e, in ogni caso, potrebbe essere riadattata. Dal canto loro, i medici dell'UAIE, Dott.ri Battaglia e Lehmann, ammettono un'incapacità al lavoro nella sua precedente occupazione di inserviente (50%), ma ritengono a lei proponibile, all'80%, attività più leggere e/o sedentarie in misura dell'80%. In ambito casalingo l'incapacità di lavoro sarebbe limitata solo nei compiti più pesanti. Un'invalidità totale viene invece ritenuta dai Dott.ri Inguscio e Vincenti.</w:t>
      </w:r>
    </w:p>
    <w:p>
      <w:r>
        <w:rPr>
          <w:b/>
        </w:rPr>
        <w:t>E. 10.2</w:t>
      </w:r>
    </w:p>
    <w:p>
      <w:r>
        <w:t>Ora, per quanto attiene dapprima alla patologia del rachide, l'assicurata ha superato, con successo, un'operazione di vertebroplastica percutanea nell'ottobre 2004. Anzi, dopo tale data ha cercato e trovato un'altra occupazione retribuita ad orario ridotto. La risonanza magnetica effettuata il 19 marzo 2007 (doc. 32) pone in evidenza solamente una lordosi lombare frutto di una modifica del corpo vertebrale a livello di D12. Il rapporto di visita ortopedica del 18 giugno 2007 accerta una situazione funzionale non grave e compatibile sia con l'esercizio a tempo ridotto di un'attività lucrativa, sia con il normale espletamento di attività nell'ambito domestico, fatta eccezione dei compiti più gravosi. In effetti, tale referto attesta un rachide lombosacrale riferito spinalgico in sede delle docce paravertebrali con movimenti limitati in flessione per circa un terzo, a causa anche di una difesa antalgica; movimenti di flesso estensione riferiti dolenti ed eseguiti con cautela, contrattura dei fasci muscolari paravertebrali del tratto lombare, manovre neurologiche nella norma, manovra di Lasègue negativa bilateralmente, ROT presenti e validi ai 4 arti, deambulazione autonoma. Il referto radiografico della colonna lombosacrale dell'8 novembre 2007, non fa che porre in evidenzia quanto già noto. Nulla è stato in particolare intrapreso per curare l'osteoporosi, a parte verosimilmente un supplemento di calcio. Neppure il referto radiografico dorsolombosacrale esibito in sede di replica (14 gennaio 2008), esaminato dal Dott. Lehmann (doc. 55), non pone in evidenza modifiche della situazione a livello della schiena. Sotto il profilo psichiatrico l'esame effettuato l'11 giugno 2007 attesta un disturbo depressivo di media gravità funzionale con uno stato d'ansia. La paziente è comunque seguita da un servizio di salute mentale e, per quelle attività che è sempre stata abituata a svolgere (inserviente, casalinga), come pure per lavori di sostituzioni semplici e ripetitivi senza formazione, non vi sono oggettivi motivi per ammettere un'invalidità di rilievo. Per il resto, l'assicurata soffre di banali disturbi di salute assai comuni e non invalidanti, come un leggero diabete ben controllato, ipoacusia, steatosi (grasso) epatica ed una sindrome dispeptica.</w:t>
      </w:r>
    </w:p>
    <w:p>
      <w:r>
        <w:rPr>
          <w:b/>
        </w:rPr>
        <w:t>E. 10.3</w:t>
      </w:r>
    </w:p>
    <w:p>
      <w:r>
        <w:t>Per quanto riguarda le certificazioni dei Dott. Inguscio e Vincenti, queste esprimono solo un parere diverso circa le conseguenze invalidanti delle menzionate affezioni. Il tasso d'invalidità espresso da medici stranieri non può essere ritenuto "sic et simpliciter" applicabile al caso di specie. In realtà non apportano novità patologiche. Va ricordato inoltre che il diritto svizzero in materia di assicurazione per l'invalidità non indennizza un complesso patologico in quanto tale, ma piuttosto l'influenza di questo sulla residua capacità di lavoro dell'assicurato e la conseguente perdita di guadagno. Il collegio giudicante non ha fondati motivi di scostarsi dai circostanziati pareri dei medici dell'UAIE. Va peraltro osservato che, perlomeno fino alla data della decisione impugnata, che limita il potere di cognizione giudiziaria di questo tribunale, l'interessava ha continuato a lavorare sia pure parzialmente nei servizi di pulizia ed ha quindi dimostrato, con atti concludenti, di non essere completamente incapace al lavoro.</w:t>
      </w:r>
    </w:p>
    <w:p>
      <w:r>
        <w:rPr>
          <w:b/>
        </w:rPr>
        <w:t>E. 11.1</w:t>
      </w:r>
    </w:p>
    <w:p>
      <w:r>
        <w:t>Per quanto riguarda la capacità al lavoro come donna di pulizie, vero è che l'interessata presenta un grado d'incapacità al lavoro che può essere ritenuto valutabile attorno al 50%. Tuttavia a lei sarebbero proponibili attività di sostituzione più leggere e/o sedentarie in misura dell'80%, quali quella di operaia addetta al controllo di macchine di produzione automatica, operaia imballatrice, sorvegliante, cassiera, commessa in un settore adeguato, ecc. Deve evitare porti di pesi superiori a 7 kg, spostamenti in salita, movimenti frequenti di flesso estensione. Per le sue condizioni psichiche deve evitare situazioni lavorative sotto stress.</w:t>
      </w:r>
    </w:p>
    <w:p>
      <w:r>
        <w:rPr>
          <w:b/>
        </w:rPr>
        <w:t>E. 11.2</w:t>
      </w:r>
    </w:p>
    <w:p>
      <w:r>
        <w:t>Dal punto di vista del lavori di casalinga, 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5a; VSI 2001 p. 265; cfr. anche circolare concernente l'invalidità e l'impotenza edita dall'Ufficio federale delle assicurazioni sociali, UFAS, da n° 3093 a 3098). Analizzando la situazione medica con le incombenze domestiche si giunge a ritenere che l'interessata potrebbe incontrare difficoltà nell'ambito dei lavori più pesanti (come le grandi pulizie, stendere la biancheria, ecc.), oppure fare le compere a piedi e con merce da portare troppo pesante. Data la sua tendenza alla depressione (moderata) potrebbe avere problemi di conduzione generale dell'economia domestica (decisioni, iniziative). In compiti più leggeri la sua capacità resta quasi intatta (preparazione dei pasti, lavare, ordinare, ecc.). Nel complesso, in base alle apposite direttive concernenti l'invalidità menzionate, l'interessata presenta un'incapacità al lavoro massima, nell'ambito delle consuete attività domestiche, stimabile al 14%, come lo ha ritenuto il Dott. Battaglia (doc. 45.2). Lo scrivente Tribunale non ha motivo di discostarsi da questa valutazione. Vero è che A._______, nell'apposito formulario per gli assicurati occupati nell'economia domestica (doc. 11), ha affermato di non essere in grado di svolgere interamente i lavori che competono ad una casalinga. Tale affermazione non può tuttavia assurgere alla dignità di prova, dal momento che riflette la posizione unilaterale della stessa ed è smentita dalle risultanze mediche oggettive.</w:t>
      </w:r>
    </w:p>
    <w:p>
      <w:r>
        <w:rPr>
          <w:b/>
        </w:rPr>
        <w:t>E. 11.3</w:t>
      </w:r>
    </w:p>
    <w:p>
      <w:r>
        <w:t>Trattandosi di un metodo di valutazione cosiddetto misto, il grado d'incapacità di lavoro finale è il seguente. 5 ore alla settimana è il tempo l'attività che l'interessata consacrava all'attività lucrativa parziale (invece delle normali 40 ore), il che rappresenta il 12,5%. Per il resto, ossia l'87,5% è casalinga. Nell'attività lucrativa (donna delle pulizie) è invalida in misura del 50% e nei compiti di casalinga è invalida in misura del 14%. Si ha pertanto: (12,5% x 50%) + (87,50% x 14%) = 18,50% che rappresenta il tasso d'invalidità globale dell'interessata, secondo il metodo misto. Tale percentuale non consente di aver diritto a prestazioni dell'assicurazione svizzera per l'invalidità.</w:t>
      </w:r>
    </w:p>
    <w:p>
      <w:r>
        <w:rPr>
          <w:b/>
        </w:rPr>
        <w:t>E. 12.1</w:t>
      </w:r>
    </w:p>
    <w:p>
      <w:r>
        <w:t>In queste circostanze, il ricorso deve essere respinto e l'impugnata decisione confermata. Il ricorso in esame può essere risolto da un giudice unico in applicazione dell'art. 69 cpv. 2 LAI.</w:t>
      </w:r>
    </w:p>
    <w:p>
      <w:r>
        <w:rPr>
          <w:b/>
        </w:rPr>
        <w:t>E. 12.2</w:t>
      </w:r>
    </w:p>
    <w:p>
      <w:r>
        <w:t>Le spese processuali, ammontanti a Fr. 300.-, sono poste a carico della ricorrente e vengono compensate con l'anticipo già versato di Fr. 300.-.</w:t>
      </w:r>
    </w:p>
    <w:p>
      <w:r>
        <w:rPr>
          <w:b/>
        </w:rPr>
        <w:t>E. 12.3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