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C-1168/2011 vom 16. November 2012</w:t>
      </w:r>
    </w:p>
    <w:p>
      <w:r>
        <w:t>Bundesverwaltungsgericht, 2012-11-16, IT</w:t>
      </w:r>
    </w:p>
    <w:p>
      <w:r>
        <w:rPr>
          <w:b/>
        </w:rPr>
        <w:t xml:space="preserve">Quelle: </w:t>
      </w:r>
      <w:r>
        <w:t>https://mcp.opencaselaw.ch/entscheid/bvger_C-1168_2011</w:t>
      </w:r>
    </w:p>
    <w:p>
      <w:r>
        <w:t>FR: TAF C-1168/2011 du 16 novembre 2012</w:t>
      </w:r>
    </w:p>
    <w:p>
      <w:r>
        <w:t>IT: TAF C-1168/2011 del 16 novembre 2012</w:t>
      </w:r>
    </w:p>
    <w:p>
      <w:pPr>
        <w:pStyle w:val="Heading2"/>
      </w:pPr>
      <w:r>
        <w:t>Regeste</w:t>
      </w:r>
    </w:p>
    <w:p>
      <w:r>
        <w:t>Casi personali particolarmente gravi</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statuisce in via definitiva (cfr. art. 1 cpv. 2 LTAF in relazione con l'art. 83 lett. c cifra 2 della legge del 17 giugno 2005 sul Tribunale federale [LTF, RS 173.110] e sentenza del Tribunale federale 2C_692/2010).</w:t>
      </w:r>
    </w:p>
    <w:p>
      <w:r>
        <w:rPr>
          <w:b/>
        </w:rPr>
        <w:t>E. 1.2</w:t>
      </w:r>
    </w:p>
    <w:p>
      <w:r>
        <w:t>Salvo in casi in cui la LAsi non disponga altrimenti, la procedura davanti la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è sempre stato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la cui domanda è stata respinta, migliorando così il loro statuto giuridico, considerato che hanno la possibilità, a certe condizioni, di ottenere un permesso di dimora (cfr. DTAF 2009/40 consid. 3.1). Ai sensi dell'art. 14 cpv. 3 LAsi qualora il Cantone intenda fare uso di tale possibilità, dovrà avvisare senza indugio l'UFM.</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RS 142.201] in relazione con l'art. 99 LStr). Né l'UFM, né il TAF sono legati dal preavviso favorevole del Cantone.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(cfr. decisioni del TAF C-4884/2009 del 3 maggio 2011, consid. 3.2 e C-673/2011 del 25 luglio 2012, consid. 5.1)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ha presentato la propria vera identità, sia nel quadro della domanda di asilo che nel corso della richiesta di riconoscimento del permesso di dimora ex 14 cpv. 2 LAsi. Sennonché il ricorrente, come da lui stesso ammesso, nella procedura di richiesta asilo non ha presentato il documento d'identità di cui era in possesso, in quanto timoroso di vedersi rifiutare la stessa (cfr. verbale di interrogatorio del 9 settembre 2010 pag. 2). Benché non sia un criterio determinante per l'ottenimento della domanda ex 14 cpv. 2 LAsi, l'atteggiamento non collaborativo del ricorrente non può essere ritenuto a suo favore.</w:t>
      </w:r>
    </w:p>
    <w:p>
      <w:r>
        <w:rPr>
          <w:b/>
        </w:rPr>
        <w:t>E. 5.2</w:t>
      </w:r>
    </w:p>
    <w:p>
      <w:r>
        <w:t>Con riferimento alla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consid. 5.1). In proposito occorre osservare che la CRA, con ordinanza del 7 marzo 2005, ha autorizzato il ricorrente a soggiornare in Svizzera fino al termine della procedura di ricorso contro il rifiuto della domanda di asilo, terminata con sentenza del Tribunale amministrativo federale del 16 giugno del 2010. Nel frattempo, il 26 maggio 2010, l'interessato aveva già iniziato la procedura relativa alla richiesta di permesso di soggiorno ex 14 cpv. 2 LAsi. Ciò detto, e considerato che nel frattempo il ricorrente ha beneficiato del permesso N, occorre riconoscere un soggiorno complessivo in Svizzera di quasi 8 anni.</w:t>
      </w:r>
    </w:p>
    <w:p>
      <w:r>
        <w:rPr>
          <w:b/>
        </w:rPr>
        <w:t>E. 5.3</w:t>
      </w:r>
    </w:p>
    <w:p>
      <w:r>
        <w:t>Dagli atti di causa emerge che il ricorrente ottempera parimenti la seconda condizione. Infatti le autorità preposte hanno sempre conosciuto il luogo in cui egli soggiornava (cfr. preavviso positivo della Sezione della popolazione del 14 ottobre 2010).</w:t>
      </w:r>
    </w:p>
    <w:p>
      <w:r>
        <w:rPr>
          <w:b/>
        </w:rPr>
        <w:t>E. 5.4.1</w:t>
      </w:r>
    </w:p>
    <w:p>
      <w:r>
        <w:t>Il ricorrente ha sottolineato che la propria integrazione sociale è di rilievo; dagli atti non emerge tuttavia che A._______, sposato in Togo e senza figli in Svizzera, abbia avuto una forte integrazione nella comunità locale; è infatti assente qualsiasi prova documentale circa la propria partecipazione ad associazioni, fondazioni o altro, come pure lettere di conoscenti e amici che testimonino un'alta integrazione nella comunità locale, ad eccezione di una lettera generica della Comunità africana del Ticino, in cui si dichiara che il ricorrente è "ben integrato nel tessuto socio-economico ticinese; è inoltre in grado [...] di intrattenere rapporti e relazioni sociali" (cfr. lettera dell'8 aprile 2011). Dal punto di vista dell'integrazione professionale e dell'acquisizione di una formazione specifica, il ricorrente ha sempre esercitato la professione di operaio generico e quindi di operaio agricolo (cfr. attestati di lavoro di Caritas Ticino del 31 marzo 2006 e di D._______ del 25 maggio 2010). Inoltre dalle emergenze istruttorie non risulta che il ricorrente abbia frequentato alcun percorso formativo rilevante e quindi conseguito un diploma specifico. Dalla atti di causa emerge infatti unicamente un certificato di frequenza di corsi di italiano per stranieri, un'attestazione della frequenza di un corso di italiano, un certificato di frequenza del corso "informatica - approfondimento" e un attestato di frequenza della Croce rossa per il corso "nozioni di base in cura della salute" (cfr. documentazione allegata alla richiesta di preavviso cantonale). A fronte di quanto sopra l'integrazione socio-professionale del ricorrente, paragonata a quella della media degli stranieri in Svizzera da diversi anni, non riveste un carattere eccezionale. Inoltre, senza mettere in discussione gli sforzi profusi dallo stesso, il Tribunale non può tuttavia considerare che essi abbiano generato dei legami così profondi e duraturi tali che non si possa più ragionevolmente prendere in considerazione un ritorno nel suo paese d'origine. In particolare il ricorrente non ha acquisito delle conoscenze o delle qualificazioni specifiche tali che non possano essere sfruttate in Togo, ciò non vuol ancora dire che troverà in maniera certa e immediata un'occupazione quale operaio agricolo, né ha fatto prova di un'evoluzione professionale in Svizzera talmente riguardevole da giustificare a lei sola l'ammissione di un caso di rigore ai sensi dell'art. 14 cpv. 2 LAsi.</w:t>
      </w:r>
    </w:p>
    <w:p>
      <w:r>
        <w:rPr>
          <w:b/>
        </w:rPr>
        <w:t>E. 5.4.2</w:t>
      </w:r>
    </w:p>
    <w:p>
      <w:r>
        <w:t>Per quanto attiene alla reintegrazione nel proprio Paese di origine, il Tribunale ricorda che il ricorrente potrà contare sulla presenza della moglie, di un fratello maggiore e di una sorella anch'essa maggiore (cfr. verbale di audizione presso il centro di registrazione di Chiasso dal 15 dicembre 204, pag.3). Inoltre egli ha vissuto in Togo sino all'età di 33 anni, trascorrendovi dunque l'infanzia e l'adolescenza, momenti importanti per apprendere gli usi e i costumi del proprio Paese di origine. A questo proposito, il Tribunale non può ritenere, visti gli anni trascorsi in Togo, la situazione personale e famigliare (sposato con moglie in Togo, senza figli in Svizzera), nonché l'esperienza professionale acquisita in Svizzera, che il ricorrente non sia più in grado di ricostruirsi una vita nel suo Paese d'origine, perdipiù considerando la presenza di famigliari stretti. Ne discende che, benché non risulti priva di difficoltà e dopo un periodo di adattamento, è immaginabile una reintegrazione sociale e professionale di A._______ in Togo.</w:t>
      </w:r>
    </w:p>
    <w:p>
      <w:r>
        <w:rPr>
          <w:b/>
        </w:rPr>
        <w:t>E. 5.4.3</w:t>
      </w:r>
    </w:p>
    <w:p>
      <w:r>
        <w:t>Il presente Tribunale non ignora il fatto che il ritorno in Patria dopo un soggiorno di quasi 8 anni in Svizzera possa comportare delle difficoltà. Effettivamente, una volta rientrato nel suo Paese d'origine, il ricorrente si troverà indubbiamente in una situazione meno favorevole di quella vissuta in Svizzera, questa situazione sarà tuttavia simile a quella di molti altri suoi connazionali rimasti in Togo. Tale circostanza non rappresenta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trova in una situazione di grave caso di rigore ai sensi dell'art. 14 cpv. 2 LAsi e che pertanto l'autorità inferiore ha rifiutato a ragione l'approvazione al rilascio di un permesso di dimora. Ne discende che l'UFM con la decisione del 17 gennaio 2011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7</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