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C-1167/2006 vom 10. August 2007</w:t>
      </w:r>
    </w:p>
    <w:p>
      <w:r>
        <w:t>Bundesverwaltungsgericht, 2007-08-10, FR</w:t>
      </w:r>
    </w:p>
    <w:p>
      <w:r>
        <w:rPr>
          <w:b/>
        </w:rPr>
        <w:t xml:space="preserve">Quelle: </w:t>
      </w:r>
      <w:r>
        <w:t>https://mcp.opencaselaw.ch/entscheid/bvger_C-1167_2006</w:t>
      </w:r>
    </w:p>
    <w:p>
      <w:r>
        <w:t>FR: TAF C-1167/2006 du 10 août 2007</w:t>
      </w:r>
    </w:p>
    <w:p>
      <w:r>
        <w:t>IT: TAF C-1167/2006 del 10 agosto 2007</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PA prises par les autorités mentionnées à l'art. 33 et l'art. 34 LTAF.</w:t>
      </w:r>
    </w:p>
    <w:p>
      <w:r>
        <w:rPr>
          <w:b/>
        </w:rPr>
        <w:t>E. 1.2</w:t>
      </w:r>
    </w:p>
    <w:p>
      <w:r>
        <w:t>En particulier, les recours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Dans la mesure où il est directement touché par la décision attaquée, X._______ a qualité pour recourir (cf. art 20 al. 1 de la loi fédérale du 26 mars 1931 sur le séjour et l'établissement des étrangers [LSEE, RS 142.20] en relation avec l'art. 48 PA). Présenté dans la forme et les délais prescrits par la loi, le recours est recevable (cf. art. 50ss PA).</w:t>
      </w:r>
    </w:p>
    <w:p>
      <w:r>
        <w:rPr>
          <w:b/>
        </w:rPr>
        <w:t>E. 2</w:t>
      </w:r>
    </w:p>
    <w:p>
      <w:r>
        <w:t>Ainsi qu'il en a fait état devant l'Office fédéral durant la procédure d'annulation de la naturalisation facilitée, X._______ reproche à cette autorité, dans son recours, d'avoir indûment écarté sa demande tendant à l'audition, en qualité de témoin, de son ex-épouse, Y._______, qui aurait pourtant pu confirmer les allégations qu'il a formulées plus particulièrement sur la bonne entente régnant au sein de leur couple lors du dépôt de la demande de naturalisation et sur la décision prise par cette dernière en vue de l'ouverture de la procédure de divorce. En d'autres termes, l'intéressé laisse implicitement entendre que le refus de l'autorité intimée de procéder à l'audition, en tant que témoin, de son ex-épouse suisse porterait atteinte à son droit d'être entendu, plus particulièrement à son droit à l'administration des preuves.</w:t>
      </w:r>
    </w:p>
    <w:p>
      <w:r>
        <w:rPr>
          <w:b/>
        </w:rPr>
        <w:t>E. 2.1</w:t>
      </w:r>
    </w:p>
    <w:p>
      <w:r>
        <w:t>Le droit d'être entendu,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132 V 368 consid. 3.1; 129 II 497 consid. 2.2 et réf. citées; Jurisprudence des autorités administratives de la Confédération [JAAC] 63.66 consid. 2). Ce droit constitutionnel est violé si l'autorité tranche la cause, ou une question de fait ou de droit qu'elle doit résoudre pour trancher la cause, sans avoir donné à l'intéressé la possibilité de présenter utilement ses moyens (arrêt du Tribunal fédéral 6P.159/2006/6S.368/2006 du 22 décembre 2006, consid. 3.1). Le droit d'être entendu ne comprend cependant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131 I 153 consid. 3; 130 II 425 consid. 2.1 et réf. citées).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127 V 431 consid. 3d/aa; 126 V 130 consid. 2b et les arrêts cités).</w:t>
      </w:r>
    </w:p>
    <w:p>
      <w:r>
        <w:rPr>
          <w:b/>
        </w:rPr>
        <w:t>E. 2.2</w:t>
      </w:r>
    </w:p>
    <w:p>
      <w:r>
        <w:t>En l'occurrence, il ressort des pièces du dossier que l'ex-épouse suisse du recourant n'a pas, comme l'intéressé l'a sollicité à plusieurs reprises de l'Office fédéral, été entendue comme témoin par cette autorité au cours de la procédure de première instance. Dans une lettre du 3 juin 2005, l'Office fédéral a fait savoir à X._______ qu'il disposait, en l'état de l'instruction, de suffisamment d'éléments pour se prononcer sur la question d'une éventuelle annulation de sa naturalisation facilitée. L'autorité intimée s'est ainsi estimée suffisamment renseignée sur la base des pièces en sa possession, qui comportent, comme cela sera exposé dans les considérants qui suivent, des éléments pertinents au regard desquels l'administration des preuves proposées apparaît dénuée de justification. En outre, le recourant ne démontre pas dans quelle mesure le fait de renoncer à l'audition de son ex-épouse procéderait d'une appréciation anticipée insoutenable. Au demeurant, il convient de souligner qu'en procédure administrative, l'audition de témoins est considérée comme un moyen de preuve subsidiaire, compte tenu en particulier de la sanction pénale sévère qui frappe les faux témoignages et qu'on ne doit dès lors y recourir qu'exceptionnellement. Tel peut être le cas lorsqu'il est indispensable de demander des renseignements à un tiers et que celui-ci refuse de se présenter ou de répondre, chacun étant en effet tenu de témoigner selon l'art. 15 PA (cf. ATF 130 II 169 consid. 2.3.3). Au vu des critères posés en la matière par la jurisprudence et compte tenu des motifs qui précèdent, l'Office fédéral ne saurait encourir le reproche d'avoir méconnu le droit d'être entendu de l'intéressé par son refus de donner suite à la requête de ce dernier visant à l'audition de son ex-épouse suisse. En tout état de cause, l'ODM n'est pas habilité, au regard de l'art. 14 al. 1 PA, à ordonner l'audition de témoins, mais peut tout au plus entendre des tiers en qualité de personnes appelées à fournir des renseignements (cf. art. 12 let. c PA).</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La notion de communauté conjugale dont il est question dans la Loi sur la nationalité, en particulier à l'art. 27 al. 1 let. c et à l'art. 28 al. 1 let. a LN, non seulement présuppose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ATF 130 II 169 consid. 2.3.1; 121 II 49 consid. 2b; voir également l'arrêt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169 consid. 3.1; 128 II 97 consid. 3a; arrêt du Tribunal fédéral du 31 août 1998, reproduit in Revue de l'état civil [REC] 67/1999 p. 6). 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129 II 401 consid. 2.2; 128 II 97 consid. 3; JAAC 67.103 consid. 20a).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à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en relation avec l'art. 14 al. 1 de l'ordonnance du 17 novembre 1999 sur l'organisation du Département fédéral de justice et police [Org DFJP, RS 172.213.1];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130 II 482 consid. 2; 128 II 97 consid. 4a; voir également les arrêts du Tribunal fédéral 5A.36/2004 du 6 décembre 2004, consid. 1.2, et 5A.21/2004 du 2 septembre 2004, consid. 2.2).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5A.24/2004 du 2 décembre 2004, consid. 2.2 et jurisprudences citées).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l'arrêt du Tribunal fédéral 5A.12/2006 du 23 août 2006, consid. 2.2). 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 S'agissant d'une présomption de fait, qui ressortit à l'appréciation des preuves et ne modifie pas le fardeau de la preuve (cf. ATF 130 II 482 consid. 3.2),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arrêt du Tribunal fédéral 5A.12/2006 du 23 août 2006, consid. 2.3). En l'occurrence, au vu de cette jurisprudence, il appartient donc au recourant de renverser ces présomptions, en vertu de son devoir de collaborer, ce qu'il n'a pas été en mesure de faire de manière convaincante pour les raisons qui seront développées ci-après.</w:t>
      </w:r>
    </w:p>
    <w:p>
      <w:r>
        <w:rPr>
          <w:b/>
        </w:rPr>
        <w:t>E. 5</w:t>
      </w:r>
    </w:p>
    <w:p>
      <w:r>
        <w:t>A titre préliminaire, le TAF constate que les conditions formelles de l'annulation de la naturalisation facilitée prévues par l'art. 41 al. 1 LN sont réalisées dans le cas particulier. En effet, la naturalisation facilitée accordée le 19 octobre 2000 à X._______ a été annulée par l'autorité intimée en date du 25 août 2005, soit avant l'échéance du délai péremptoire de cinq ans prévu par la disposition précitée (cf. sur cette question les arrêts du Tribunal fédéral 5A.11/2002 du 23 août 2002, consid. 3, et 5A.3/2002 du 29 avril 2002, consid. 3), avec l'assentiment de l'autorité du canton d'origine (canton de Berne).</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X._______ est arrivé pour la première fois en Suisse en septembre 1998 et a été renvoyé dans son pays d'origine en juin 1992, au terme d'une procédure d'asile. Après avoir divorcé de son épouse turque en juin 1993 et s'être marié en Turquie, le 1er août 1994, avec Y._______, ressortissante suisse de seize ans son aînée, il est revenu en Suisse en décembre 1994, où il a déposé, le 9 février 2000, une demande de naturalisation facilitée. Le 6 septembre 2000, l'intéressé et sa nouvelle épouse ont signé une déclaration commune attestant du caractère stable et effectif de leur union. Sur la base de ce document, le recourant s'est vu accorder, par décision du 19 octobre 2000, la naturalisation facilitée. Or, au début de l'année 2002 au plus tard (cf. déclaration formulée par Y._______ lors de l'audition des époux tenue le 23 janvier 2003 dans le cadre de la procédure en divorce devant l'autorité judiciaire civile bernoise), voire dès le mois décembre 2001, respectivement dès l'automne 2001 déjà (cf. indications données en ce sens par X._______ lors de l'audition précitée des époux et dans ses déterminations écrites du 28 février 2005), l'intéressé s'est séparé de son épouse avec laquelle il vivait dans le canton de Berne en s'installant d'abord chez un ami dans le canton de Fribourg, avant d'aller habiter dans le Jura bernois où il s'est constitué son propre domicile. Le 5 novembre 2002, en l'absence de toutes mesures protectrices de l'union conjugale, X._______ et son épouse ont ouvert action par une requête commune tendant au divorce et à la ratification de la convention sur les effets accessoires du divorce, ensuite de quoi le Tribunal de l'arrondissement judiciaire I Courtelary-Moutier-La Neuveville a dissous par le divorce, selon jugement du 31 mars 2003, l'union contractée le 1er août 1994; ce jugement est entré en force le 2 mai 2003. Ces éléments et leur enchaînement chronologique particulièrement rapide sont de nature à fonder la présomption que le recourant avait choisi d'épouser une ressortissante suisse dans le but prépondérant de s'installer dans ce pays et d'en obtenir ultérieurement la nationalité. Le temps écoulé entre la signature de la déclaration commune (septembre 2000), respectivement la naturalisation (octobre 2000), et le signe extérieurement perceptible de la rupture de l'union conjugale, à savoir la séparation (automne 2001, au plus tard début 2002), pourrait a priori aller à l'encontre d'une présomption de fait. L'expérience enseigne aussi que certains événements graves peuvent remettre en cause la vie commune d'une manière relativement inopinée. X._______ n'indique toutefois pas le moindre élément de fait qui permettrait de comprendre pourquoi la communauté conjugale formée avec son épouse, bien que prétendument encore intacte en automne 2000, ne l'était déjà plus un an après. L'intéressé soutient certes que les problèmes conjugaux n'auraient débuté qu'à l'automne 2001, suite aux remarques faites par son épouse au sujet des frais de téléphone engendrés par les appels de plus en plus fréquents qu'il effectuait à l'adresse de ses enfants en Turquie (cf. courrier du 28 février 2005, p. 4). Cette allégation n'est toutefois pas convaincante, dès lors que ce problème devait forcément se poser avant la naturalisation, vu l'âge de chacun des enfants lors du dépôt de la demande de naturalisation (ces derniers ayant respectivement plus de treize, six et quatre ans déjà à cette époque). On ne saurait donc parler d'un événement soudain ou imprévu susceptible d'expliquer la rupture subite du lien conjugal. Il est du reste inconcevable qu'un couple, dont l'union se serait déroulée de manière harmonieuse - comme le décrit le recourant (cf. p. 3 de la réplique du 16 février 2007) -, marié de surcroît depuis plus de sept ans, se résigne à divorcer en raison d'une simple querelle financière liée au montant des frais résultant des appels téléphoniques auxquels procédait l'intéressé dans le cadre des contacts noués avec ses enfants; on ne peut que s'étonner que le divorce se soit imposé d'emblée et si rapidement après l'octroi de la nationalité suisse comme l'unique solution entrant en ligne de compte. Il en est de même de l'autre point de discorde évoqué par X._______ dans sa lettre du 17 mai 2005 au sujet de l'opposition affichée par son épouse quant à la venue en Suisse des enfants issus de son union avec une compatriote. En raison de l'âge des enfants, cette source de conflit était nécessairement préexistante à la procédure de naturalisation. Compte tenu de l'ensemble de ces circonstances et à défaut de contre-preuves apportées par le recourant, il y a lieu de s'en tenir à la présomption - qui se justifie vu le laps de temps tout de même relativement court entre la décision de naturalisation et la séparation des conjoints (cf. dans le même sens l'arrêt du Tribunal fédéral 5A.22/2006 du 13 juillet 2006, consid. 4.1 et 4.3) - que, au moment de la signature de la déclaration commune, l'intéressé n'avait plus la volonté (si tant est qu'il l'ait jamais eue) de maintenir une communauté conjugale stable, mais que, par son mariage, il cherchait avant tout à obtenir une autorisation de séjour en Suisse, ensuite la naturalisation facilitée. Selon l'expérience générale, les éventuelles difficultés qui peuvent surgir entre époux, après plusieurs années de vie commune, dans une communauté de vie effective, intacte et stable n'entraînent en effet la désunion qu'au terme d'un processus prolongé de dégradation des rapports conjugaux, en principe entrecoupé de tentatives de réconciliation (cf. notamment arrêts du Tribunal fédéral 5A.11/2006 du 27 juin 2006, consid. 4.1, 5A.18/2003 du 19 novembre 2003, consid. 2.2). A cet égard, il importe peu pour l'issue de la cause que l'idée de divorcer ne soit pas venue de X._______ mais de son épouse (cf. notamment arrêts du Tribunal fédéral 5A.31/2006 du 16 octobre 2006, consid. 2 in fine et 5A.24/2004 du 2 décembre 2004, consid. 4.2). La présomption de fait selon laquelle la naturalisation a été obtenue de manière frauduleuse pourrait être encore renforcée par la demande de regroupement familial que le recourant a déposée en faveur de ses proches en Turquie peu de temps après son divorce d'avec Y._______ (cf. lettre du Service bernois de l'état civil et des naturalisations adressée le 24 juillet 2003 à l'Office fédéral). Cette question souffre toutefois de demeurer indécise au vu des renseignements peu précis la concernant. Au demeurant, les divers éléments et le faisceau d'indices qui ont été exposés auparavant sont en tout état de cause suffisants pour justifier le bien-fondé de la présomption des autorités helvétiques concernant le caractère frauduleux de la demande de naturalisation.</w:t>
      </w:r>
    </w:p>
    <w:p>
      <w:r>
        <w:rPr>
          <w:b/>
        </w:rPr>
        <w:t>E. 7.2</w:t>
      </w:r>
    </w:p>
    <w:p>
      <w:r>
        <w:t>Cette présomption est corroborée au demeurant par d'autres indices. Il appert en effet que le mariage contracté entre le recourant et Y._______ est intervenu consécutivement à l'échec de la procédure d'asile que l'intéressé avait engagée en Suisse. Si l'influence exercée par le rejet d'une demande d'asile sur la décision des conjoints de se marier ne préjuge pas en soi de la volonté que les époux ont ou n'ont pas de fonder une communauté conjugale effective et ne peut constituer un indice de mariage fictif que si elle est accompagnée d'autres éléments troublants, comme une grande différence d'âge, tel est précisément le cas ici puisque l'ex-épouse du recourant était de seize ans son aînée, situation tout à fait inhabituelle dans le milieu socioculturel dont il est issu (cf. notamment arrêt du Tribunal fédéral 5A.11/2006 du 27 juin 2006, consid. 3.1 [la différence d'âge évoquée par le Tribunal fédéral n'atteignait en l'occurrence que treize ans]). Le fait que son ancienne épouse turque n'ait, si l'on se réfère à l'indication fournie par l'intéressé au cours de la procédure d'asile (cf. procès-verbal d'audition au Centre d'enregistrement de Berne du 9 septembre 1988), que trois ans de plus que lui confirme d'ailleurs cette appréciation. A cela s'ajoute que, selon les propos mêmes formulés par X._______ dans les dépositions écrites qu'il a faites à l'attention de l'Office fédéral (cf. lettres des 28 février 2005 [p. 1] et 17 mai 2005 [ch. 4]), l'intéressé et Y._______ ont débuté leurs fréquentations en 1991, soit dès après le rejet, en première instance, de la demande d'asile déposée par ce dernier, et ont entretenu une véritable liaison amoureuse, alors que le recourant était encore marié à une compatriote. Tout en maintenant le contact, après son départ de Suisse, avec Y._______, laquelle, aux dires du recourant (cf. article 2 du mémoire de recours), est même venue, précédemment à la célébration de leur mariage devant les autorités civiles turques en août 2004, le retrouver dans son pays au cours de l'été 2003, l'intéressé n'en a pas moins continué sa relation avec sa première épouse, dont il a eu, en sus d'une fille née en 1986, deux autres enfants en mars 1993 et mars 1995. Cette double relation et la conception d'un troisième enfant intervenue avec son ancienne épouse turque à l'époque même où il s'apprêtait à se remarier avec une ressortissante suisse constituent des indices supplémentaires tendant à démontrer, de manière suffisamment révélatrice, que X._______ et son épouse suisse n'ont jamais envisagé leur union comme une véritable communauté de destins, dès lors qu'ils étaient apparemment prêts à s'accommoder d'une situation matrimoniale ne correspondant pas à l'institution que le législateur juge digne de protection. Ces éléments et leur déroulement chronologique amènent le TAF, à défaut de contre-preuves pertinentes apportées par le recourant, à conclure que la communauté conjugale que ce dernier formait avec Y._______ n'était plus étroite et effective en septembre 2000 déjà, lors de la signature de la déclaration commune. Partant, l'Office fédéral était parfaitement fondé à considérer que la naturalisation facilitée conférée à l'intéressé en date du 19 octobre 2000 avait été obtenue par la dissimulation de faits essentiels et à prononcer, avec l'assentiment du canton d'origine, l'annulation de cette naturalisation.</w:t>
      </w:r>
    </w:p>
    <w:p>
      <w:r>
        <w:rPr>
          <w:b/>
        </w:rPr>
        <w:t>E. 8</w:t>
      </w:r>
    </w:p>
    <w:p>
      <w:r>
        <w:t>Dans le cadre de la procédure de recours, X._______ réitère sa requête tendant à l'audition, en qualité de témoin, de son ex-épouse suisse et demande également à être entendu personnellement. En sus des considérations qui ont déjà été émises plus haut à propos du grief de violation du droit d'être entendu (cf. consid. 2 du présent arrêt), le TAF estime que les faits de la cause sont suffisamment établis par les pièces figurant au dossier, de sorte qu'il ne s'avère pas indispensable de donner suite à la requête formulée par l'intéressé en vue de son audition personnelle et de celle de son ex-épouse suisse. Au demeurant, le TAF ne voit pas ce que des explications orales supplémentaires de la part du recourant et de son ex-épouse suisse apporteraient dans la présente affaire, au vu des développements antérieurs.</w:t>
      </w:r>
    </w:p>
    <w:p>
      <w:r>
        <w:rPr>
          <w:b/>
        </w:rPr>
        <w:t>E. 9</w:t>
      </w:r>
    </w:p>
    <w:p>
      <w:r>
        <w:t>Il ressort de ce qui précède que, par sa décision du 25 août 2005, l'Office fédéral n'a ni violé le droit fédéral ni constaté des faits pertinents de manière inexacte ou incomplète; en outre, cette décision n'est pas inopportune (art. 49 PA). En conséquence, le recours est rejeté. Par décision incidente du 20 octobre 2006, le DFJP a mis le recourant au bénéfice de l'assistance judiciaire et désigné Me Vincent Kleiner, comme avocat d'office en application de l'art. 65 al. 1 et 2 PA. Il y a donc lieu de dispenser l'intéressé du paiement des frais de la présente procédure et de lui allouer une indemnité à titre d'honoraires (art. 8 à 10 en relation avec l'art. 12 et l'art. 14 du règlement du 11 décembre 2006 concernant les frais, dépens et indemnités fixés par le Tribunal administratif fédéral [FITAF, RS 173.320.2]). Le recourant a l'obligation de rembourser ce montant s'il revient à meilleure fortune, conformément à l'art. 65 al. 4 PA. Tenant compte de l'ensemble des circonstances du cas, de l'importance de l'affaire, du degré de difficulté de cette dernière et de l'ampleur du travail que Me Vincent Kleiner a accompli en sa qualité de mandataire, le TAF estime, au regard des art. 8 et ss. FITAF, que le versement d'une indemnité à titre d'honoraires s'élevant à Fr. 1'500.--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