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C-1164/2006 vom 17. August 2007</w:t>
      </w:r>
    </w:p>
    <w:p>
      <w:r>
        <w:t>Bundesverwaltungsgericht, 2007-08-17, FR</w:t>
      </w:r>
    </w:p>
    <w:p>
      <w:r>
        <w:rPr>
          <w:b/>
        </w:rPr>
        <w:t xml:space="preserve">Quelle: </w:t>
      </w:r>
      <w:r>
        <w:t>https://mcp.opencaselaw.ch/entscheid/bvger_C-1164_2006</w:t>
      </w:r>
    </w:p>
    <w:p>
      <w:r>
        <w:t>FR: TAF C-1164/2006 du 17 août 2007</w:t>
      </w:r>
    </w:p>
    <w:p>
      <w:r>
        <w:t>IT: TAF C-1164/2006 del 17 agosto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Le recourant,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consid. 2.3.1; 121 II 49 consid. 2b; voir également l'arrêt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II 97 consid. 3;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consid. 2; 128 II 97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w:t>
      </w:r>
    </w:p>
    <w:p>
      <w:r>
        <w:rPr>
          <w:b/>
        </w:rPr>
        <w:t>E. 5.2</w:t>
      </w:r>
    </w:p>
    <w:p>
      <w:r>
        <w:t>La procédure administrative fédérale est régie par le principe de la libre appréciation des preuves (art. 40 de la loi fédérale du 4 décembre 1947 de procédure civile fédérale [PCF, RS 273] applicable par renvoi des art. 4 et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(cf. ATF 130 II 482 consid. 3.2),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w:t>
      </w:r>
    </w:p>
    <w:p>
      <w:r>
        <w:rPr>
          <w:b/>
        </w:rPr>
        <w:t>E. 6</w:t>
      </w:r>
    </w:p>
    <w:p>
      <w:r>
        <w:t>A titre préliminaire, il sied de relever que les conditions formelles de l'annulation de la naturalisation facilitée prévues à l'art. 41 al. 1 LN sont réalisées. En effet, la naturalisation facilitée accordée le 20 août 2001 à A._______ a été annulée par l'autorité intimée, avec l'assentiment des autorités du canton d'origine, en date du 14 juin 2005, soit avant l'échéance du délai péremptoire de cinq ans prévu par la disposition précitée (cf. arrêts du Tribunal fédéral 5A.11/2002 du 23 août 2002 consid. 3 et 5A.3/2002 du 29 avril 2002 consid. 3).</w:t>
      </w:r>
    </w:p>
    <w:p>
      <w:r>
        <w:rPr>
          <w:b/>
        </w:rPr>
        <w:t>E. 7.1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7.2</w:t>
      </w:r>
    </w:p>
    <w:p>
      <w:r>
        <w:t>Arrivé sur territoire helvétique en 1996, le recourant, qui séjournait alors illégalement dans ce pays, a épousé, le 6 septembre 1996, B._______, de sorte qu'une autorisation de séjour liée à son statut d'époux d'une ressortissante suisse lui a été délivrée. Avant même de totaliser les cinq années de séjour en Suisse exigés par l'art. 27 al. 1 let. a LN, soit le 28 septembre 2000, il a sollicité l'octroi de la naturalisation facilitée. Le 20 juillet 2001, l'intéressé et son épouse ont signé la déclaration relative à la stabilité de leur mariage. Le 20 août 2001, le recourant s'est vu octroyer la naturalisation facilitée. En automne 2001, B._______ a pris la décision de se séparer du recourant, du fait qu'elle s'était soudainement éprise d'un tiers connu de longue date. Le 11 juin 2002, la prénommée et l'intéressé ont signé une convention sur les effets accessoires du divorce et le 12 juin 2002, soit moins de dix mois après l'obtention par A._______ de la nationalité suisse et en l'absence de toutes mesures protectrices de l'union conjugale, l'épouse de l'intéressé a ouvert une procédure de divorce, à laquelle ce dernier ne s'est pas opposé, avant que le Président du Tribunal de l'arrondissement de la Sarine ne dissolve leur union par le divorce, selon jugement du 29 octobre 2002, lequel est entré en force le 10 janvier 2003. Trois mois et demi plus tard seulement, c'est-à-dire le 25 avril 2003, le recourant s'est remarié avec une compatriote, union de laquelle sont issues deux filles, nées respectivement les 14 septembre 2003 et 18 octobre 2004. Ces éléments et leur enchaînement chronologique particulièrement rapide sont de nature à fonder la présomption que A._______ avait choisi d'épouser une ressortissante suisse dans le but prépondérant d'obtenir le droit à l'octroi d'un titre de séjour en Suisse et, ultérieurement, la naturalisation facilitée (cf. dans ce sens arrêt du Tribunal fédéral 5A.11/2003 du 31 juillet 2003 consid. 3.3.3 et 5A.11/2006 du 27 juin 2006 consid. 3.2). L'écoulement d'un laps de temps aussi court entre la déclaration commune (juillet 2001) et l'intention de se séparer en automne 2001 (cf. procès-verbal d'audition du 12 février 2004) confirme que le couple n'envisageait déjà plus une vie future partagée lors de la signature de cette déclaration de vie commune.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 cet égard, si le fait que son ex-épouse se soit éprise, en 2001, d'un autre homme a pu précipiter la fin de la vie de couple, il ne paraît pas excessif de considérer que le recourant s'est rapidement rangé à l'idée de voir se terminer cette relation, ce qui allait lui permettre, trois mois et demi après le prononcé du divorce, soit le 25 avril 2003, d'épouser en secondes noces, une compatriote, avec laquelle il s'est empressé de fonder une famille, puisque leur fille aînée est née au mois de septembre 2003 (cf. sur ce point les arrêts du Tribunal fédéral 5A.11/2006 précité, consid. 4.1, et 5A.25/2005 du 18 octobre 2005, consid. 3.1). Cette conviction est renforcée par plusieurs autres éléments. Le recourant et B._______ ont pris la décision de se marier alors que l'intéressé séjournait et travaillait illégalement sur territoire helvétique (cf. document du 7 mars 2001 annexé au rapport d'enquête du 26 mars 2001). En outre, si l'on se réfère aux déclarations formulées par la prénommée lors de son audition du 12 février 2004, propos d'ailleurs confirmés par A._______ dans son pourvoi du 13 juillet 2005, leur mariage n'est intervenu que quelques mois après leur rencontre, ce qui démontre l'opiniâtreté avec laquelle ce dernier s'est employé à mettre en oeuvre tous les moyens nécessaires à la réalisation de son objectif visant à bénéficier d'une régularisation de ses conditions de séjour en Suisse. Par ailleurs, comme déjà relevé ci-dessus, l'intéressé a sollicité l'octroi de la naturalisation facilitée avant même de totaliser les cinq années de séjour en Suisse exigés par l'art. 27 al. 1 let. a LN, circonstance qui porte à croire qu'il avait particulièrement hâte d'obtenir la naturalisation facilitée que lui rendait possible son mariage avec B._______. Par surabondance, lors de son audition précitée, celle-ci a précisé qu'elle n'avait jamais accompagné, par manque d'enthousiasme, son époux dans son pays d'origine, quand bien même ce dernier s'y rendait une à deux fois par année. Or, le fait que le recourant se soit rendu à de nombreuses reprises dans sa patrie sans sa conjointe, ne saurait plaider en faveur de l'existence d'une communauté de vie étroite. Ceci démontre également que son ex-épouse montrait peu d'intérêt à connaître l'environnement socioculturel (pourtant fort différent du sien) dont était issu son époux et celui-ci ne jugeait pas non plus utile de le lui faire partager, ce qui constitue un indice supplémentaire confirmant que l'intéressé n'entendait pas fonder une union durable avec son ex-épouse. A._______ explique, dans son recours du 13 juillet 2005, qu'il avait souhaité fonder une famille avec son ex-épouse, que celle-ci avait fait une fausse couche en 1998, que leur union était stable jusqu'en automne 2001, lorsque celle-ci lui a annoncé l'existence de sa nouvelle relation, et qu'ils n'avaient eu auparavant aucune intention de se séparer. Or, il est particulièrement révélateur que B._______ ait déclaré, certes de manière informelle en date du 22 juillet 2003, qu'elle avait envisagé d'entamer une procédure matrimoniale (sic) déjà au courant des mois de juin et juillet 2001 (cf. dénonciation du Service de l'état civil et des naturalisations du canton de Fribourg du 24 juillet 2003), soit à une époque concomitante avec celle de la signature de la déclaration de communauté conjugale, et qu'elle ait également précisé qu'elle savait qu'en quittant l'intéressé plus rapidement, la naturalisation suisse de ce dernier serait en danger (cf. procès-verbal d'audition du 12 février 2004). A cet égard, il est pour le moins surprenant qu'elle se soit soudainement éprise, en 2001, d'un tiers qu'elle connaissait pourtant depuis une dizaine d'années, lequel était d'ailleurs lui-même en procédure de divorce en été 2001. Au vu du déroulement chronologique des faits et des nombreux autres éléments exposés ci-dessus, le TAF est amené, à défaut de contre-preuves pertinentes apportées par l'intéressé, à conclure que la communauté conjugale que ce dernier formait avec B._______ n'était manifestement plus étroite et effective au moment de la signature de la déclaration commune, a fortiori lors de l'octroi de la naturalisation. Partant, l'Office fédéral était parfaitement fondé à considérer que la naturalisation facilitée conférée au recourant en date du 20 août 2001 avait été obtenue par la dissimulation de faits essentiels et à prononcer, avec l'assentiment du canton d'origine, l'annulation de cette naturalisation.</w:t>
      </w:r>
    </w:p>
    <w:p>
      <w:r>
        <w:rPr>
          <w:b/>
        </w:rPr>
        <w:t>E. 8</w:t>
      </w:r>
    </w:p>
    <w:p>
      <w:r>
        <w:t>Il ressort de ce qui précède que, par sa décision du 14 juin 2005,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