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C-115/2012 vom 26. April 2012</w:t>
      </w:r>
    </w:p>
    <w:p>
      <w:r>
        <w:t>Bundesverwaltungsgericht, 2012-04-26, FR</w:t>
      </w:r>
    </w:p>
    <w:p>
      <w:r>
        <w:rPr>
          <w:b/>
        </w:rPr>
        <w:t xml:space="preserve">Quelle: </w:t>
      </w:r>
      <w:r>
        <w:t>https://mcp.opencaselaw.ch/entscheid/bvger_C-115_2012</w:t>
      </w:r>
    </w:p>
    <w:p>
      <w:r>
        <w:t>FR: TAF C-115/2012 du 26 avril 2012</w:t>
      </w:r>
    </w:p>
    <w:p>
      <w:r>
        <w:t>IT: TAF C-115/2012 del 26 aprile 2012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w:t>
      </w:r>
    </w:p>
    <w:p>
      <w:r>
        <w:rPr>
          <w:b/>
        </w:rPr>
        <w:t>E. 5.1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2011, ce sont les Tables des rentes 2011 qui sont applicables pour la détermination de l'échelle de rente. En l'espèce l'intéressé ayant cotisé durant les années déterminantes pour le calcul de l'échelle de rente de 1967 à 2008 et durant les années de jeunesse 1964 à 1966, il compte une durée de cotisation complète de 44 années par report de 2 années dites de jeunesse (art. 52b du règlement du 31 octobre 1947 sur l'assurance-vieillesse et survivants [RAVS, RS 831.101]) fondant l'octroi d'une rente de l'échelle 44.</w:t>
      </w:r>
    </w:p>
    <w:p>
      <w:r>
        <w:rPr>
          <w:b/>
        </w:rPr>
        <w:t>E. 5.2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w:t>
      </w:r>
    </w:p>
    <w:p>
      <w:r>
        <w:rPr>
          <w:b/>
        </w:rPr>
        <w:t>E. 5.3</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1a LAVS). La répartition est effectuée lorsque soit les deux conjoints ont droit à la rente, une veuve ou un veuf a droit à une rente de vieillesse, le mariage est dissous par le divorce. Les revenus réalisés durant l'année de mariage ainsi que durant l'année de la dissolution du mariage ne sont pas soumis au partage (art. 50b al. 3 RAVS). Dans la présente cause le splitting intervient pour le calcul de la rente de l'assuré pour les années 1969 à 1979 vu le mariage intervenu en décembre 1968 et le divorce prononcé en février 1980 (Dispositions finales de la modification du 7 octobre 1994 [10ème révision de la LAVS] let. c al. 4). Il appert du calcul effectif de la rente au dossier (cf. pces 42 et 94) que le splitting est bien intervenu pour les années 1969 à 1979 et non y compris pour l'année 1980 comme l'énonce par erreur la CSC dans sa réponse au recours. Il appert également du dossier que durant ces mêmes années l'ex-épouse de l'intéressé a travaillé durant les années 1969 et 1979 (pces 74, 77) et que les moitiés des revenus de ces années de respectivement 1'000 francs et 2'376 francs ont été reportées sur le décompte des revenus cumulés de l'assuré (pce 96).</w:t>
      </w:r>
    </w:p>
    <w:p>
      <w:r>
        <w:rPr>
          <w:b/>
        </w:rPr>
        <w:t>E. 5.4</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éd. 2011 ch. 5305). En l'espèce le facteur de revalorisation pour une première inscription en 1964 reportée à 1967 applicable au recourant est en référence à l'année 1967 de 1.319 (Table des rentes 2011, p. 15).</w:t>
      </w:r>
    </w:p>
    <w:p>
      <w:r>
        <w:rPr>
          <w:b/>
        </w:rPr>
        <w:t>E. 5.5</w:t>
      </w:r>
    </w:p>
    <w:p>
      <w:r>
        <w:t>Les revenus de l'assuré pour les années 1967 à 2010, après splitting des revenus durant les années civiles de mariage, totalisent 2'293'745 francs. Le facteur de revalorisation appliqué en 2011 à l'année 1967 étant de 1.319, il s'ensuit un revenu actualisé de 3'025'450 qui, compte tenu d'une durée de cotisations de 44 années, détermine un revenu annuel moyen de 68'760 francs.</w:t>
      </w:r>
    </w:p>
    <w:p>
      <w:r>
        <w:rPr>
          <w:b/>
        </w:rPr>
        <w:t>E. 5.6</w:t>
      </w:r>
    </w:p>
    <w:p>
      <w:r>
        <w:t>En vertu de l'art. 29sexies LAVS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Les bonifications sont toujours attribuées pour l'année civile entière; aucune bonification n'est octroyée pour l'année de naissance du droit (art. 52f al. 1 RAVS). Elles correspondent au triple du montant de la rente de vieillesse annuelle minimale (rente mensuelle minimale complète de l'échelle 44 en 2011: 1'160 francs) prévu par l'art. 34 LAVS au moment de la naissance du droit à la rente. Le recourant ayant eu un enfant né en 1969 et ayant divorcé en 1980, il bénéficie de 10 demi-bonifications pour tâches éducatives augmentant son revenu moyen précité de 4'745 francs (13'920 x 3 = 41'760 francs : 2 = 20'880 francs x 10 années = 208'800 francs : 44 années). Le revenu moyen ainsi augmenté se monte à 73'505 francs.</w:t>
      </w:r>
    </w:p>
    <w:p>
      <w:r>
        <w:rPr>
          <w:b/>
        </w:rPr>
        <w:t>E. 5.7</w:t>
      </w:r>
    </w:p>
    <w:p>
      <w:r>
        <w:t>En application de la let. c al. 2 et 3 des Dispositions finales de la modification du 7 octobre 1994 (10ème révision de la LAVS),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Elle correspond au montant de la moitié de la bonification pour tâches éducatives. S'agissant d'une personne née en 1948, 10 bonifications transitoires peuvent être allouées au plus. Le recourant ayant bénéficié de bonifications pour tâches éducatives pendant 10 années il peut lui être attribuées 6 années de bonifications transitoires augmentant son revenu moyen précité de 2'847 francs (13'920 x 3 = 41'760 francs : 2 = 20'880 francs x 6 années = 125'280 francs : 44 années). Le revenu moyen ainsi augmenté se monte à 76'352 francs qui, porté au revenu moyen déterminant directement supérieur des niveaux de l'échelle de rente 44, est pris en compte pour le revenu moyen déterminant de 76'560 francs auquel correspond une rente mensuelle de 2'227 francs. Ce montant correspond à celui déterminé par la CSC, étant ici précisé, comme l'a indiqué la CSC dans la décision sur opposition, que le revenu moyen déterminant de 83'520 francs donnait lieu à la rente maximale.</w:t>
      </w:r>
    </w:p>
    <w:p>
      <w:r>
        <w:rPr>
          <w:b/>
        </w:rPr>
        <w:t>E. 6</w:t>
      </w:r>
    </w:p>
    <w:p>
      <w:r>
        <w:t>Dans son opposition à la décision de la CSC du 11 novembre 2011, l'intéressé a indiqué qu'il versait une rente à vie à son ex-épouse de 950 francs par mois et, implicitement de son grief, qu'il ne se justifiait pas que sa rente de vieillesse ne soit pas du montant de la rente maximale. Le grief ici soulevé relève de la convention de divorce passée entre les ex-conjoints. Or, les rentes de vieillesse sont établies uniquement en fonction des années de cotisations, des revenus et de divers complément légaux (art. 29bis ss LAVS) sans référence à la situation économique personnelle des assurés.</w:t>
      </w:r>
    </w:p>
    <w:p>
      <w:r>
        <w:rPr>
          <w:b/>
        </w:rPr>
        <w:t>E. 7</w:t>
      </w:r>
    </w:p>
    <w:p>
      <w:r>
        <w:t>Vu ce qui précède, le recours étant manifestement infondé, il est rejeté et la décision attaquée confirmée dans une procédure à juge unique en application de l'art. 85bis al. 3 LAVS en relation avec l'art. 23 al. 2 LTAF.</w:t>
      </w:r>
    </w:p>
    <w:p>
      <w:r>
        <w:rPr>
          <w:b/>
        </w:rPr>
        <w:t>E. 8</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