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C-1159/2006 vom 30. August 2007</w:t>
      </w:r>
    </w:p>
    <w:p>
      <w:r>
        <w:t>Bundesverwaltungsgericht, 2007-08-30, FR</w:t>
      </w:r>
    </w:p>
    <w:p>
      <w:r>
        <w:rPr>
          <w:b/>
        </w:rPr>
        <w:t xml:space="preserve">Quelle: </w:t>
      </w:r>
      <w:r>
        <w:t>https://mcp.opencaselaw.ch/entscheid/bvger_C-1159_2006</w:t>
      </w:r>
    </w:p>
    <w:p>
      <w:r>
        <w:t>FR: TAF C-1159/2006 du 30 août 2007</w:t>
      </w:r>
    </w:p>
    <w:p>
      <w:r>
        <w:t>IT: TAF C-1159/2006 del 30 agosto 2007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qui est directement touché par la décision entreprise, a qualité pour recourir (cf. art 20 al. 1 en relation avec l'art.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Dans le cadre de son recours, A._______ fait grief à l'ODM de ne pas avoir respecté son droit d'être entendu en lui refusant l'accès au procès-verbal d'audition de B._______. A son sens, rien ne justifiait que l'ODM fasse application de l'art. 27 al. 1 let. b PA pour soustraire cette pièce à sa consultation.</w:t>
      </w:r>
    </w:p>
    <w:p>
      <w:r>
        <w:rPr>
          <w:b/>
        </w:rPr>
        <w:t>E. 3.2</w:t>
      </w:r>
    </w:p>
    <w:p>
      <w:r>
        <w:t>Le droit d'être entendu comprend pour son titulaire le droit de prendre connaissance du dossier (cf. ATF 132 II 485 consid. 3, 126 I 7 consid. 2b),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(cf. ATF 132 V 368 consid. 3.1 et jurisprudence citée). Garantie constitutionnelle (cf. art. 29 al. 2 de la Constitution fédérale de Confédération suisse du 18 avril 1999 [Cst., RS 101]) de nature formelle, le droit d'être entendu est une règle primordiale de procédure dont la violation entraîne en principe l'annulation de la décision attaquée sans égard aux chances de succès du recours sur le fond (cf. Andreas Auer, Giorgio Malinverni, Michel Hottelier, Droit constitutionnel suisse, volume II, Les droits fondamentaux, 2ème ed., Berne 2006, n. 1346; ATF 122 II 464 consid. 4a et références citées). Ce principe de nullité souffre néanmoins d'une exception, celui de la réparation. Une inobservation de ce droit peut en effet être réparée lorsque le titulaire qui en pâtit bénéficie de la possibilité de s'expliquer librement devant une instance de recours qui dispose du même pouvoir de cognition que l'autorité qui l'a précédée (cf. ATF 130 II 530 consid. 7.3 et références citées, 129 I 129 consid. 2.2.3, 127 V 431 consid. 3.-d) aa); Auer, Mailverni, Hottelier, op. cit., n. 1347s).</w:t>
      </w:r>
    </w:p>
    <w:p>
      <w:r>
        <w:rPr>
          <w:b/>
        </w:rPr>
        <w:t>E. 3.3</w:t>
      </w:r>
    </w:p>
    <w:p>
      <w:r>
        <w:t>Selon la jurisprudence que le Tribunal fédéral a développée dans le cadre des recours dont il était saisi en matière d'annulation de la naturalisation facilitée (cf. ATF 130 II 169, arrêt du Tribunal fédéral 5A.12/2006 du 23 août 2006 consid. 3.2), les interrogatoires des personnes appelées à fournir des renseignements (cf. art. 12 let. c PA) doivent - en vertu du droit d'être entendu - aussi être conduits en présence des parties, lesquelles ont ainsi le droit d'assister à l'audition et de poser des questions complémentaires conformément à l'art. 18 al. 1 PA qui s'applique ici par analogie (cf. ATF 130 précité consid. 2.3.5). Le droit de participer à l'audition du tiers appelé à fournir des renseignements vise à permettre à la partie, non seulement de contre-interroger le tiers sur des faits à propos desquels il a éventuellement donné de fausses indications, mais également de poser des questions complémentaires (cf. ATF 117 V 282 consid. 4c). Il importe donc peu que les déclarations du tiers soient favorables ou défavorables à la partie concernée. Cependant, conformément à l'art. 18 al. 2 PA qui s'applique également ici par analogie (cf. ATF 130 précité, arrêt du Tribunal fédéral 5A.12/2006 ibid.), les parties peuvent se voir exclure de l'audition si la sauvegarde d'importants intérêts publics ou privés le commande. Pour des motifs de même ordre, la partie peut aussi se voir refuser l'autorisation de prendre connaissance du procès-verbal (cf. 18 al. 2 PA). Toujours selon la jurisprudence précitée du Tribunal fédéral, lorsqu'elle projette d'annuler, pour les motifs qui ressortent de l'art. 41 al. 1 LN une naturalisation facilitée qu'elle a octroyée sur la base de l'art. 27 LN, l'autorité administrative doit prendre toutes les précautions afin d'éviter que l'un des conjoints ne soit mis en danger en raison de sa position de tiers appelé à fournir des renseignements. Ainsi, après l'ouverture de la procédure, elle peut légitimement chercher à vérifier l'existence d'un tel danger même en l'absence de tout indice au dossier. Pour ce faire, il lui suffit de contacter la personne qu'elle désire entendre pour éclaircir ce point avant de procéder à son audition; si la crainte de menaces ou de violences est crédible, l'autorité peut dresser un procès-verbal de la déclaration et refuser l'audition en présence de l'intéressé (cf. ATF 130 précité, arrêt du Tribunal fédéral 5A.12/2006 précité) voire ne pas l'informer de la tenue de l'audition, si la sauvegarde d'importants intérêts privés ou publics le commande. Dans ce dernier cas ainsi que dans l'hypothèse où la partie est renseignée sur l'existence de l'audition mais qu'on lui a denié la possibilité de prendre connaissance du procès-verbal de l'audition à laquelle elle n'a pas participé, l'autorité - si elle entend prendre en considération les informations ainsi obtenues en défaveur de la partie - devra toutefois veiller à lui communiquer le contenu essentiel des déclarations consignées et lui offrir l'occasion de s'exprimer et de fournir des contre-preuves (cf. art. 28 PA en relation avec l'art. 18 al. 3 PA). Si, de manière justifiée, l'autorité a simplement refusé à une partie la participation à l'audience, la communication subséquente du procès-verbal et l'offre de la possibilité de se prononcer sont suffisantes pour sauvegarder le droit d'être entendu de la partie (ATF 130 II 169 consid. 2.3.5).</w:t>
      </w:r>
    </w:p>
    <w:p>
      <w:r>
        <w:rPr>
          <w:b/>
        </w:rPr>
        <w:t>E. 3.4</w:t>
      </w:r>
    </w:p>
    <w:p>
      <w:r>
        <w:t>En l'occurrence, l'autorité intimée a fait auditionner B._______ par le Service de l'état civil et des habitants du canton du Jura, en l'absence du recourant. L'ODM semble avoir considéré, du moins implicitement, que la sauvegarde des intérêts privés de cette dernière justifiait une limitation du droit du recourant d'assister à l'audition, conformément à l'art. 18 al. 2 PA, cette mesure étant justifiée par les allégations de l'épouse quant au caractère violent de A._______. Pour forger son opinion, l'ODM s'est référé à la requête de mesures protectrices de l'union conjugale du 23 décembre 2003 où il était indiqué "M. A._______ a fait preuve de violence", ainsi que sur les documents présents au dossier, dont un jugement rendu le 19 mars 1999 à l'encontre du recourant par le Président I du tribunal de Delémont pour conduite inconvenante suite à une échauffourée dans une discothèque. Sans se prononcer sur le caractère avéré ou non de ces violences, le Tribunal est d'avis qu'en mai 2005, au moment où l'ODM a requis l'audition de l'épouse, les informations en sa possession paraissaient suffisamment crédibles pour faire application de l'art. 18 al. 2 PA, sans que cette décision ne porte le flanc à la critique. L'ODM a ensuite refusé au recourant l'autorisation de prendre connaissance du procès-verbal d'audition, en se basant, de façon erronée sur l'art. 27 al. 1 let. b PA plutôt que sur la règle spécifique de l'art. 18 al. 2 PA. Cette erreur demeure de peu de portée puisque la formulation, et surtout la conséquence de l'application de ces deux règles est identique: le contenu essentiel du procès-verbal doit être communiqué à la partie pour qu'elle puisse être retenue à son désavantage (art. 18 al. 3 et art. 28 PA). Savoir si les exigences de l'art. 28 PA ont été respectées par l'ODM dans le cas d'espèce n'a cependant pas de réel intérêt, le Service de l'état civil et des habitants du canton du Jura ayant finalement mis à disposition de A._______ la quasi-totalité du procès-verbal de l'audition de l'épouse. Le 20 mars 2006, le recourant a également pu s'exprimer sur cette audition (cf. art. 28 al. 1 in fine PA). Aussi, même si la décision de première instance avait été affectée d'un vice de procédure, celui-ci aurait été réparé au niveau du recours, la cognition du TAF n'étant pas moindre que celle de l'ODM. Seules la question et la réponse n° 20 de l'audition du 13 juin 2005 n'ont finalement pas été communiquées à A._______, afin de sauvegarder d'importants intérêts privés. Cette décision n'entraîne pas pour autant un préjudice pour le recourant, les déclarations figurant sous ce point n'ayant aucune incidence sur la question litigieuse (annulation de la naturalisation facilitée). En dernier lieu, A._______ s'est insurgé contre les démarches entreprises par le TAF pour obtenir la signature manquante de son ex-épouse sur le procès-verbal d'audition du 13 juin 2005. Cette absence de signature résultait pourtant d'une simple erreur du Service de l'état civil et des habitants du canton du Jura, qui a manifestement omis de faire parapher le document au terme de l'audition. Contactée par le Tribunal, B._______ a très spontanément corrigé cette inadvertance, validant l'ensemble des propos consignés, sans émettre la moindre réserve. Le TAF cherche en vain, dans l'argumentation du recourant, une raison d'écarter le contenu de ce document sur la base d'une violation du droit d'être entendu, la personne interrogée s'étant contentée de confirmer dans leur intégralité, et sans les modifier, des allégations sur lesquelles A._______ a eu l'occasion de se prononcer. Partant, le grief de violation du droit d'être entendu s'avère mal fondé.</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 l'art. 27 al. 1 let. c et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arrêt du Tribunal fédéral 5A.11/2003 du 31 juillet 2003 consid. 3.3.1; ATF 121 II précité).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128 II précité, arrêt du Tribunal fédéral du 31 août 1998, reproduit in Revue de l'état civil [REC] 67/1999 p. 6).</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128 II précité; Jurisprudence des autorités administratives de la Confédération [JAAC] 67.104 et 67.103).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(cf. ATF 128 II 97 consid. 4a).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 citée).</w:t>
      </w:r>
    </w:p>
    <w:p>
      <w:r>
        <w:rPr>
          <w:b/>
        </w:rPr>
        <w:t>E. 6.1</w:t>
      </w:r>
    </w:p>
    <w:p>
      <w:r>
        <w:t>Quand elle envisage d'annuler une naturalisation facilitée, l'autorité compétente doit rechercher si le conjoint naturalisé a menti lorsqu'il a déclaré former une communauté conjugale stable avec son épouse suisse; comme il s'agit là d'un fait psychique en relation avec des faits relevant de la sphère intime, qui sont souvent inconnus de l'administration et difficiles à prouver, il est légitime que l'autorité compétente puisse se fonder sur une présomption. En effet, dans un arrêt relatif à l'annulation d'une naturalisation facilitée, confirmé depuis, le Tribunal fédéral a jugé qu'il était admissible de se fonder sur des présomptions et que, si l'enchaînement des événements fondait la présomption de fait que la naturalisation avait été obtenue frauduleusement, il incombait à l'intéressé de renverser cette présomption en apportant la contre-preuve. "Im Wesentlichen geht es dabei um innere Vorgänge, die der Verwaltung oft nicht bekannt und schwierig zu beweisen sind. Sie kann sich daher veranlasst sehen, von bekannten Tatsachen (Vermutungsbasis) auf unbekannte (Vermutungsfolge) zu schliessen" (ATF 130 II 482 consid. 3.2 et 3.3; cf. également arrêt du Tribunal fédéral 5A.31/2006 du 16 octobre 2006).</w:t>
      </w:r>
    </w:p>
    <w:p>
      <w:r>
        <w:rPr>
          <w:b/>
        </w:rPr>
        <w:t>E. 6.2</w:t>
      </w:r>
    </w:p>
    <w:p>
      <w:r>
        <w:t>Au vu de cette jurisprudence, il appartient donc au recourant de renverser cette présomption, en vertu non seulement de son devoir de collaborer à l'établissement des faits (cf. art. 13 PA), mais encore de son propre intérêt (cf. arrêt du Tribunal fédéral 5A.13/2005 du 6 septembre 2005 consid. 4.2 et références citées). Toujours selon cette jurisprudence, comme il s'agit d'une présomption de fait, qui relève simplement de l'appréciation des preuves (cf. Henri Deschenaux, Le titre préliminaire du code civil in Traité de droit civil suisse, tome II, Fribourg 1969, p. 249) et ne modifie pas le fardeau de la preuve, l'administré n'a pas besoin, pour la renverser, d'apporter la preuve du contraire du fait présumé, soit de faire acquérir à l'autorité compétente la certitude qu'il n'a pas menti; il suffit que, par l'administration d'une ou de plusieurs contre-preuves, il parvienne à faire admettre l'existence d'une possibilité raisonnable qu'il n'ait pas menti en déclarant former une union stable avec son conjoint. Il peut le faire en rendant vraisemblable soit la survenance d'un événement extraordinaire, susceptible d'expliquer une dégradation rapide du lien conjugal, soit l'absence de conscience de la gravité des problèmes rencontrés par son couple et, ainsi, l'existence d'une véritable volonté de maintenir une union stable avec son conjoint au moment où il a signé sa déclaration.</w:t>
      </w:r>
    </w:p>
    <w:p>
      <w:r>
        <w:rPr>
          <w:b/>
        </w:rPr>
        <w:t>E. 7</w:t>
      </w:r>
    </w:p>
    <w:p>
      <w:r>
        <w:t>A titre préliminaire, il sied de relever que les conditions formelles de l'annulation de la naturalisation facilitée prévues à l'art. 41 al. 1 LN sont réalisées. En effet, la naturalisation facilitée accordée le 18 août 2003 à A._______ a été annulée par l'autorité inférieure, avec l'assentiment des autorités du canton d'origine, en date du 27 octobre 2005, soit avant l'échéance du délai péremptoire de cinq ans prévu par la disposition précitée (cf. arrêts du Tribunal fédéral 5A.11/2002 du 23 août 2002 consid. 3 et 5A.3/2002 du 29 avril 2002 consid. 3).</w:t>
      </w:r>
    </w:p>
    <w:p>
      <w:r>
        <w:rPr>
          <w:b/>
        </w:rPr>
        <w:t>E. 8.1</w:t>
      </w:r>
    </w:p>
    <w:p>
      <w:r>
        <w:t>Il est dès lors nécessaire d'examiner si les circonstances d'espèce répondent aux conditions matérielles de l'annulation de la naturalisation facilitée issues du texte de la loi, de la volonté du législateur et de la jurisprudence développée en la matière.</w:t>
      </w:r>
    </w:p>
    <w:p>
      <w:r>
        <w:rPr>
          <w:b/>
        </w:rPr>
        <w:t>E. 8.2</w:t>
      </w:r>
    </w:p>
    <w:p>
      <w:r>
        <w:t>Dans le cas présent, les époux AB._______ se sont rencontrés en Tunisie fin 1994 / début 1995. En octobre 1996, A._______ a rejoint en Suisse B._______, ressortissante helvétique, mère de deux enfants issus d'un premier mariage. Le couple a convolé en justes noces le 21 décembre 1996, les conjoints étant respectivement âgés de 23 et 37 ans. Par la suite, le recourant a formé une demande de naturalisation facilitée le 28 juin 2001, avant que le couple ne signe, le 23 juin 2003, la déclaration relative à la stabilité de leur mariage. Le 18 août 2003, A._______ s'est vu octroyer la nationalité helvétique. Le 24 décembre 2003, quatre mois seulement après la naturalisation facilitée de son conjoint, B._______ requérait des mesures protectrices de l'union conjugale, relevant notamment que cela faisait trois mois qu'il n'y avait plus de discussions au sein du couple, plus de relations intimes. Le 12 mars 2004, le juge civil du Tribunal de première instance de Porrentruy a homologué une convention passée entre les conjoints aux termes de laquelle "Les parties constatent qu'elles traversent des difficultés conjugales sérieuses et conviennent pour cette raison de vivre séparées pour une durée indéterminée à compter du 1er mars 2004". Aussi, force est de constater que seuls huit mois se sont écoulés entre la signature de la déclaration du 23 juin 2003 et la séparation effective des époux le 1er mars 2004. De l'avis du Tribunal, l'enchaînement chronologique particulièrement rapide de ces faits est de nature à fonder la présomption qu'au moment de la signature de la déclaration commune, a fortiori à celui de l'octroi de la naturalisation facilitée, le recourant n'avait plus la volonté de maintenir une communauté conjugale stable.</w:t>
      </w:r>
    </w:p>
    <w:p>
      <w:r>
        <w:rPr>
          <w:b/>
        </w:rPr>
        <w:t>E. 8.3</w:t>
      </w:r>
    </w:p>
    <w:p>
      <w:r>
        <w:t>Cette conviction est renforcée par plusieurs éléments du dossier. En premier lieu, et ce point n'est pas contesté, les conjoints ont souvent eu des disputes tant au sujet des deux enfants de B._______ qu'à propos de l'argent du ménage. Des difficultés relationnelles semblaient d'ailleurs être apparues depuis plusieurs années au sein du couple, crises parfois virulentes qui, comme celle d'octobre 2000, avait conduit, en raison de l'énervement des parties, au bris d'une porte-fenêtre ou qui, par la suite, ont mené le recourant à quitter durant quelques jours le domicile conjugal. Nul n'est besoin ici de déterminer si la dégradation de la vie de couple a résulté du comportement du recourant qui, selon B._______, avait empiré depuis qu'il avait reçu son passeport, ce dernier rentrant tard le soir et "dormant au salon" ou si, comme le premier l'affirme, il était privé de liberté de la part de son épouse, devant satisfaire à toutes ses volontés, totalement étouffé par une personne qui allait jusqu'à lui manquer de respect. Le TAF se doit néanmoins de constater, à la lecture des pièces des mesures protectrices de l'union conjugale, que les relations entre époux étaient, depuis quelque temps déjà, passablement entamées, ce qui a conduit B._______ à envisager une séparation immédiate en mars 2003, trois mois avant la signature du document attestant la stabilité de leur mariage. Pareille décision ne saurait être prise à la légère après plus de six années de vie commune et témoigne pour le moins difficilement de l'existence d'une véritable communauté de destin. A cela s'ajoute, comme l'a pertinemment retenu l'ODM, que le recourant a choisi pour épouse une femme de 14 ans son aînée, situation pour le moins inhabituelle dans le milieu socioculturel dont il est issu. Enfin, le Tribunal notera que A._______ a présenté sa demande de naturalisation facilitée avant l'échéance du délai de cinq ans prévu par l'art. 27 al. 1 let. a LN, ce qui tend à démontrer qu'il avait hâte d'obtenir la nationalité suisse.</w:t>
      </w:r>
    </w:p>
    <w:p>
      <w:r>
        <w:rPr>
          <w:b/>
        </w:rPr>
        <w:t>E. 8.4</w:t>
      </w:r>
    </w:p>
    <w:p>
      <w:r>
        <w:t>De son côté, le recourant rejette la responsabilité de la désunion sur son conjoint. Il déclare n'avoir rien à se reprocher et souligne que c'est B._______ qui a pris la décision de la séparation. Il importe toutefois peu, pour l'issue de la cause, que l'idée de se séparer, et finalement de divorcer, ne soit pas venue du recourant mais de son épouse (arrêt du Tribunal fédéral 5A.31/2006 du 16 octobre 2006 consid. 3 in fine). De même, il n'est pas déterminant de retenir que A._______ aurait ouvert une procédure de naturalisation en juin 2001 sur conseil de son épouse. A ce sujet, le Tribunal notera qu'à cette époque, les rapports entre époux, même parfois houleux, n'étaient peut-être pas encore dégradés au point de renoncer à la poursuite de la vie commune. En revanche, le TAF cherche en vain dans l'argumentation du recourant la survenance d'un événement imprévu qui aurait expliqué la subite détérioration du lien conjugal intervenue entre juin 2003 et décembre 2003. A._______ soutient que suite au courrier de mars 2003, par lequel B._______ avait annoncé son intention de vivre séparément, le couple avait eu recours à une conseillère conjugale et s'était réconcilié, affirmant que la situation "s'était totalement rétablie. Le couple repartait sur d'excellentes bases". Le Tribunal ne saurait se rallier à cette opinion. Si, comme l'admet B._______, la situation s'était "quelque peu rétablie", permettant au couple de continuer à avancer momentanément, les tensions récurrentes et les désaccords profonds qui animaient leur relation n'avaient manifestement pas disparus et n'ont pas manqué de refaire surface dès le mois de décembre 2003. En cela, leur situation recoupe parfaitement l'expérience générale qui veut que les éventuelles difficultés pouvant surgir entre les époux, après plusieurs années de vie commune conjugale effective, intacte et stable (seule jugée digne de protection par le législateur) ne sauraient entraîner la désunion qu'au terme d'un processus prolongé de dégradation des rapports conjugaux, en principe entrecoupés de tentatives de réconciliation (cf. notamment arrêt du Tribunal fédéral 5A.25/2005 du 18 octobre 2005 consid. 3.1). Le Tribunal arrive ainsi à la conclusion que les difficultés régnant au sein du couple, qui ont conduit à l'ouverture d'une requête de mesures protectrices de l'union conjugale en décembre 2003 et ont abouti au prononcé du divorce en avril 2007, étaient présentes et connues des époux depuis plusieurs mois, de sorte que leur communauté conjugale n'était déjà plus orientée vers l'avenir au moment de la signature de la déclaration commune et de l'octroi de la naturalisation facilitée. A défaut de contre-preuves convaincantes susceptibles d'expliquer la fin rapide et imprévisible du lien conjugal, il y a lieu de s'en tenir à la présomption de fait que la naturalisation facilitée a été obtenue de façon frauduleuse (ATF 130 II 482). Au demeurant, l'éventuelle intégration du recourant en Suisse comme sa faculté d'ouvrir une procédure de naturalisation ordinaire après 12 années de résidence en Suisse (cf. art. 14 et art. 15 LN) sont sans pertinence pour l'examen de la question de savoir s'il y a eu obtention frauduleuse de naturalisation au sens de l'art. 41 LN (cf. arrêt du Tribunal fédéral 5A.6/2003 du 24 juillet 2003 consid. 3.2).</w:t>
      </w:r>
    </w:p>
    <w:p>
      <w:r>
        <w:rPr>
          <w:b/>
        </w:rPr>
        <w:t>E. 9</w:t>
      </w:r>
    </w:p>
    <w:p>
      <w:r>
        <w:t>Compte tenu des circonstances, il appert que la décision du 27 octobre 2005 de l'ODM est conforme au droit. En conséquence, le recours est rejeté. Vu l'issue de la cause, il y a lieu de mettre les frais de la procédure de recours à la charge du recourant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