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C-1158/2011 vom 14. März 2012</w:t>
      </w:r>
    </w:p>
    <w:p>
      <w:r>
        <w:t>Bundesverwaltungsgericht, 2012-03-14, FR</w:t>
      </w:r>
    </w:p>
    <w:p>
      <w:r>
        <w:rPr>
          <w:b/>
        </w:rPr>
        <w:t xml:space="preserve">Quelle: </w:t>
      </w:r>
      <w:r>
        <w:t>https://mcp.opencaselaw.ch/entscheid/bvger_C-1158_2011</w:t>
      </w:r>
    </w:p>
    <w:p>
      <w:r>
        <w:t>FR: TAF C-1158/2011 du 14 mars 2012</w:t>
      </w:r>
    </w:p>
    <w:p>
      <w:r>
        <w:t>IT: TAF C-1158/2011 del 14 marzo 2012</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B._______ et A._______ ont qualité pour recourir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2011/1 consid. 2).</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135 II 1 consid. 1.1 et ATAF 2009/27 consid. 3, ainsi que la jurisprudence citée).</w:t>
      </w:r>
    </w:p>
    <w:p>
      <w:r>
        <w:rPr>
          <w:b/>
        </w:rPr>
        <w:t>E. 4</w:t>
      </w:r>
    </w:p>
    <w:p>
      <w:r>
        <w:t>Les dispositions sur la procédure en matière de visa ainsi que sur l'entrée et la sortie de Suisse ne s'appliquent que dans la mesure où les accords d'association à Schengen, qui sont mentionnés à l'annexe 1, ch. 1 de la loi fédérale du 16 décembre 2005 sur les étrangers (LEtr, RS 142.20), ne contiennent pas de dispositions divergentes (cf. art. 2 al. 4 et 5 LEtr).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 (cf. notamment ATAF 2009/27 précité, consid. 5.1 et 5.2).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5</w:t>
      </w:r>
    </w:p>
    <w:p>
      <w:r>
        <w:t>Le Règlement (CE) no 539/2001 du Conseil du 15 mars 2001 (JO L 81 du 21 mars 2001, p. 1-7) différencie, en son art. 1 par. 1 et 2, les ressortissants des Etats tiers selon qu'ils sont soumis ou non à l'obligation du visa. B._______, du fait de sa nationalité, est soumise à l'obligation du visa.</w:t>
      </w:r>
    </w:p>
    <w:p>
      <w:r>
        <w:rPr>
          <w:b/>
        </w:rPr>
        <w:t>E. 6.1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la situation personnelle du requérant.</w:t>
      </w:r>
    </w:p>
    <w:p>
      <w:r>
        <w:rPr>
          <w:b/>
        </w:rPr>
        <w:t>E. 6.2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6.3</w:t>
      </w:r>
    </w:p>
    <w:p>
      <w:r>
        <w:t>Ces éléments d'appréciation doivent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Toutefois, la seule situation dans le pays d'origine ou de provenance ne suffit pas à conclure à l'absence de garantie quant à la sortie de Suisse à l'issue du séjour, toutes les particularités du cas d'espèce devant être prises en considération.</w:t>
      </w:r>
    </w:p>
    <w:p>
      <w:r>
        <w:rPr>
          <w:b/>
        </w:rPr>
        <w:t>E. 6.4</w:t>
      </w:r>
    </w:p>
    <w:p>
      <w:r>
        <w:t>A ce sujet, il faut prendre en considération la qualité de vie et les conditions économiques et sociales difficiles que connaît l'ensemble de la population en Thaïlande, pays dont le produit intérieur brut (PIB) par habitant de $ 4'679 en 2010 (sources: site internet du Département des affaires étrangères &gt; Représentation &gt; Asie &gt; Thaïlande &gt; Le Royaume de Thaïlande en bref; mise à jour: le 23 août 2011, consulté mi-mars 2012). Dès lors, ces conditions économiques particulières ne sont pas sans exercer une pression migratoire importante. Cette tendance migratoire est encore renforcée, comme l'expérience l'a démontré, lorsque les personnes concernées peuvent s'appuyer à l'étranger sur un réseau social (parents, amis) préexistant, comme cela est le cas en l'espèce.</w:t>
      </w:r>
    </w:p>
    <w:p>
      <w:r>
        <w:rPr>
          <w:b/>
        </w:rPr>
        <w:t>E. 6.5</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7</w:t>
      </w:r>
    </w:p>
    <w:p>
      <w:r>
        <w:t>En l'espèce, B._______ a déjà obtenu une autorisation annuelle de séjour pour vivre à Lausanne auprès de son conjoint d'août 2004 à août 2009. Or, il ressort des propres déclarations de l'intéressée que depuis son mariage en 2004, elle a vécu essentiellement en Suisse allemande pour des raisons professionnelles et non pas auprès de son conjoint, l'intéressée ayant également reconnu s'être livrée à la prostitution durant son séjour en Suisse (cf. notamment procès-verbal d'audition de B._______ du 28 octobre 2009 et courrier du 13 avril 2010). S'agissant des conditions de vie actuelles de la recourante, il ressort certes des indications figurant dans le formulaire de demande de visa, des documents produits à l'appui de la présente requête et du présent recours que B._______, séparée de son conjoint Suisse, âgée de quarante-et-un an, est mère de deux filles (l'une âgée de 23 ans et l'autre de près de 18 ans). Elle précise également qu'elle est propriétaire de deux maisons en Thaïlande, dont l'une lui rapporte des revenus. Bien qu'il faille en l'occurrence donner acte aux recourants du fait que l'affirmation de l'ODM selon laquelle B._______ est "sans charge de famille" dans son pays est dénuée de fondement, il n'en demeure pas moins toutefois - même si l'invitée a de la famille, dont notamment une fille mineure, une fille majeure, sa mère et une de ses soeurs, dans son pays d'origine et s'il convient d'admettre que de tels liens peuvent, dans une certaine mesure, inciter une personne, au terme du séjour envisagé en Suisse, à retourner dans le pays où elle réside - que ces liens familiaux ne sauraient, dans le contexte socio-économique dans lequel se trouve la Thaïlande et au vu de la situation personnelle de l'intéressée, suffire toutefois, à eux seuls, à garantir son retour dans cet Etat. En effet, au vu de l'expérience générale, un tel lien est parfois insuffisant pour inciter une personne à retourner dans son pays et, souvent, ne l'emporte pas sur la perspective d'un meilleur avenir en Suisse, si l'on prend en considération les disparités économiques importantes existant entre la Suisse et la Thaïlande. Pareille crainte paraît d'autant plus fondée qu'il ressort des pièces figurant au dossier cantonal que l'intéressée a déjà vécu en Suisse de 2004 à juin 2010 sans ses deux filles (alors que sa présence auprès de ces dernières, encore bien plus jeunes qu'actuellement, aurait été plus nécessaire qu'aujourd'hui), qu'elle dispose en Suisse d'un réseau social préexistant et qu'hormis la gestion de ses deux maisons, elle n'exerce pas d'activité professionnelle dans son pays. Au demeurant, à peine rentrée en Thaïlande en juin 2010, B._______ demandait déjà en octobre 2010 à pouvoir revenir en Suisse. D'autre part, en janvier 2004, la prénommée avait également demandé à venir en Suisse pour rendre visite à un ami domicilié à Saint-Gall durant trois mois. Or, quatre mois après son entrée en Suisse, elle a contracté mariage avec un autre ami domicilié à Lausanne, personne avec laquelle elle n'a pratiquement jamais vécu, préférant vivre et travailler en Suisse allemande. En conséquence et compte tenu de la situation personnelle actuelle de la prénommée et des circonstances socio-économiques rappelées ci-avant, rien n'exclut que l'intéressée puisse être tentée, une fois entrée en Suisse, de prolonger son séjour en ce pays, fût-ce temporairement, dans le but d'y trouver des conditions d'existence plus favorables que celles qu'elle connaît actuellement en Thaïlande et d'y travailler à nouveau, malgré les assurances contraires qui ont été données dans le cadre de la procédure de recours. Cela étant, les doutes émis dans le cadre de la présente requête quant au départ de Suisse de B._______ à l'échéance du visa sollicité s'avèrent d'autant plus fondés que les recourants n'ont pas caché les liens sentimentaux qui les lient, même s'ils ont indiqué que le but de cette dernière n'était pas de s'installer en Suisse (cf. recours du 17 février 2011). Dans ces circonstances, on ne saurait reprocher à l'ODM d'avoir considéré que la sortie de Suisse de B._______ à l'échéance du visa n'était pas garantie.</w:t>
      </w:r>
    </w:p>
    <w:p>
      <w:r>
        <w:rPr>
          <w:b/>
        </w:rPr>
        <w:t>E. 8</w:t>
      </w:r>
    </w:p>
    <w:p>
      <w:r>
        <w:t>Par surabondance, il convient encore de relever qu'un refus d'autorisation d'entrée en Suisse prononcé par les autorités helvétiques n'a pas en l'occurrence pour conséquence d'empêcher B._______ et son hôte en Suisse de se voir, les intéressés pouvant tout aussi bien se rencontrer hors de Suisse, notamment en Thaïlande, où le recourant se rend en principe régulièrement (cf. courriers des 4 octobre et 22 octobre 2010 et recours du 17 février 2011).</w:t>
      </w:r>
    </w:p>
    <w:p>
      <w:r>
        <w:rPr>
          <w:b/>
        </w:rPr>
        <w:t>E. 9</w:t>
      </w:r>
    </w:p>
    <w:p>
      <w:r>
        <w:t>Au vu de l'ensemble des circonstances, le Tribunal estime qu'il ne saurait être reproché à l'ODM d'avoir refusé la délivrance d'une autorisation d'entrée dans l'Espace Schengen en sa faveur. Compte tenu des considérants exposés ci-dessus, il appert que, par sa décision du 17 janvier 2011,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l'art. 1, l'art. 2 et l'art.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